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E51" w:rsidRPr="00240D2B" w:rsidRDefault="00B61E51" w:rsidP="00B61E51">
      <w:pPr>
        <w:pStyle w:val="a4"/>
        <w:numPr>
          <w:ilvl w:val="0"/>
          <w:numId w:val="1"/>
        </w:numPr>
        <w:autoSpaceDE w:val="0"/>
        <w:autoSpaceDN w:val="0"/>
        <w:adjustRightInd w:val="0"/>
        <w:spacing w:after="0" w:line="240" w:lineRule="auto"/>
        <w:ind w:left="0" w:right="424" w:firstLine="0"/>
        <w:outlineLvl w:val="0"/>
        <w:rPr>
          <w:rFonts w:ascii="Times New Roman" w:hAnsi="Times New Roman" w:cs="Times New Roman"/>
          <w:sz w:val="24"/>
          <w:szCs w:val="24"/>
        </w:rPr>
      </w:pPr>
      <w:r w:rsidRPr="00240D2B">
        <w:rPr>
          <w:rFonts w:ascii="Times New Roman" w:hAnsi="Times New Roman" w:cs="Times New Roman"/>
          <w:sz w:val="24"/>
          <w:szCs w:val="24"/>
        </w:rPr>
        <w:t xml:space="preserve">Об уровне нормативных потерь электроэнергии с указанием источника опубликования решения об установлении уровня нормативных потерь: </w:t>
      </w:r>
    </w:p>
    <w:p w:rsidR="00B61E51" w:rsidRDefault="00B61E51" w:rsidP="00B61E51">
      <w:pPr>
        <w:pStyle w:val="ConsPlusTitlePage"/>
        <w:ind w:right="424"/>
      </w:pPr>
    </w:p>
    <w:p w:rsidR="00B61E51" w:rsidRDefault="00B61E51" w:rsidP="00B61E51">
      <w:pPr>
        <w:pStyle w:val="ConsPlusTitlePage"/>
        <w:ind w:right="424"/>
      </w:pPr>
      <w:r>
        <w:t xml:space="preserve">Документ предоставлен </w:t>
      </w:r>
      <w:hyperlink r:id="rId5" w:history="1">
        <w:proofErr w:type="spellStart"/>
        <w:r>
          <w:rPr>
            <w:color w:val="0000FF"/>
          </w:rPr>
          <w:t>КонсультантПлюс</w:t>
        </w:r>
        <w:proofErr w:type="spellEnd"/>
      </w:hyperlink>
      <w:r>
        <w:br/>
      </w:r>
    </w:p>
    <w:p w:rsidR="00B61E51" w:rsidRDefault="00B61E51" w:rsidP="00B61E51">
      <w:pPr>
        <w:pStyle w:val="ConsPlusNormal"/>
        <w:ind w:right="424"/>
        <w:jc w:val="both"/>
        <w:outlineLvl w:val="0"/>
      </w:pPr>
    </w:p>
    <w:p w:rsidR="00B61E51" w:rsidRDefault="00B61E51" w:rsidP="00B61E51">
      <w:pPr>
        <w:pStyle w:val="ConsPlusTitle"/>
        <w:ind w:right="424"/>
        <w:jc w:val="center"/>
        <w:outlineLvl w:val="0"/>
      </w:pPr>
      <w:r>
        <w:t>ПРАВИТЕЛЬСТВО РОССИЙСКОЙ ФЕДЕРАЦИИ</w:t>
      </w:r>
    </w:p>
    <w:p w:rsidR="00B61E51" w:rsidRDefault="00B61E51" w:rsidP="00B61E51">
      <w:pPr>
        <w:pStyle w:val="ConsPlusTitle"/>
        <w:ind w:right="424"/>
        <w:jc w:val="center"/>
      </w:pPr>
    </w:p>
    <w:p w:rsidR="00B61E51" w:rsidRDefault="00B61E51" w:rsidP="00B61E51">
      <w:pPr>
        <w:pStyle w:val="ConsPlusTitle"/>
        <w:ind w:right="424"/>
        <w:jc w:val="center"/>
      </w:pPr>
      <w:r>
        <w:t>ПОСТАНОВЛЕНИЕ</w:t>
      </w:r>
    </w:p>
    <w:p w:rsidR="00B61E51" w:rsidRDefault="00B61E51" w:rsidP="00B61E51">
      <w:pPr>
        <w:pStyle w:val="ConsPlusTitle"/>
        <w:ind w:right="424"/>
        <w:jc w:val="center"/>
      </w:pPr>
      <w:r>
        <w:t>от 13 ноября 2013 г. N 1019</w:t>
      </w:r>
    </w:p>
    <w:p w:rsidR="00B61E51" w:rsidRDefault="00B61E51" w:rsidP="00B61E51">
      <w:pPr>
        <w:pStyle w:val="ConsPlusTitle"/>
        <w:ind w:right="424"/>
        <w:jc w:val="center"/>
      </w:pPr>
    </w:p>
    <w:p w:rsidR="00B61E51" w:rsidRDefault="00B61E51" w:rsidP="00B61E51">
      <w:pPr>
        <w:pStyle w:val="ConsPlusTitle"/>
        <w:ind w:right="424"/>
        <w:jc w:val="center"/>
      </w:pPr>
      <w:r>
        <w:t>О ВНЕСЕНИИ ИЗМЕНЕНИЙ</w:t>
      </w:r>
    </w:p>
    <w:p w:rsidR="00B61E51" w:rsidRDefault="00B61E51" w:rsidP="00B61E51">
      <w:pPr>
        <w:pStyle w:val="ConsPlusTitle"/>
        <w:ind w:right="424"/>
        <w:jc w:val="center"/>
      </w:pPr>
      <w:r>
        <w:t>В НЕКОТОРЫЕ АКТЫ ПРАВИТЕЛЬСТВА РОССИЙСКОЙ ФЕДЕРАЦИИ В ЦЕЛЯХ</w:t>
      </w:r>
    </w:p>
    <w:p w:rsidR="00B61E51" w:rsidRDefault="00B61E51" w:rsidP="00B61E51">
      <w:pPr>
        <w:pStyle w:val="ConsPlusTitle"/>
        <w:ind w:right="424"/>
        <w:jc w:val="center"/>
      </w:pPr>
      <w:r>
        <w:t>ИЗМЕНЕНИЯ ПОРЯДКА НОРМИРОВАНИЯ ПОТЕРЬ ЭЛЕКТРИЧЕСКОЙ</w:t>
      </w:r>
    </w:p>
    <w:p w:rsidR="00B61E51" w:rsidRDefault="00B61E51" w:rsidP="00B61E51">
      <w:pPr>
        <w:pStyle w:val="ConsPlusTitle"/>
        <w:ind w:right="424"/>
        <w:jc w:val="center"/>
      </w:pPr>
      <w:r>
        <w:t>ЭНЕРГИИ НА ОСНОВЕ СРАВНИТЕЛЬНОГО АНАЛИЗА</w:t>
      </w:r>
    </w:p>
    <w:p w:rsidR="00B61E51" w:rsidRDefault="00B61E51" w:rsidP="00B61E51">
      <w:pPr>
        <w:pStyle w:val="ConsPlusNormal"/>
        <w:ind w:right="424"/>
        <w:jc w:val="center"/>
      </w:pPr>
    </w:p>
    <w:p w:rsidR="00B61E51" w:rsidRDefault="00B61E51" w:rsidP="00B61E51">
      <w:pPr>
        <w:pStyle w:val="ConsPlusNormal"/>
        <w:ind w:right="424"/>
        <w:jc w:val="center"/>
      </w:pPr>
      <w:r>
        <w:t>Список изменяющих документов</w:t>
      </w:r>
    </w:p>
    <w:p w:rsidR="00B61E51" w:rsidRDefault="00B61E51" w:rsidP="00B61E51">
      <w:pPr>
        <w:pStyle w:val="ConsPlusNormal"/>
        <w:ind w:right="424"/>
        <w:jc w:val="center"/>
      </w:pPr>
      <w:r>
        <w:t xml:space="preserve">(в ред. </w:t>
      </w:r>
      <w:hyperlink r:id="rId6" w:history="1">
        <w:r>
          <w:rPr>
            <w:color w:val="0000FF"/>
          </w:rPr>
          <w:t>Постановления</w:t>
        </w:r>
      </w:hyperlink>
      <w:r>
        <w:t xml:space="preserve"> Правительства РФ от 20.10.2016 N 1074)</w:t>
      </w:r>
    </w:p>
    <w:p w:rsidR="00B61E51" w:rsidRDefault="00B61E51" w:rsidP="00B61E51">
      <w:pPr>
        <w:pStyle w:val="ConsPlusNormal"/>
        <w:ind w:right="424"/>
        <w:jc w:val="center"/>
      </w:pPr>
    </w:p>
    <w:p w:rsidR="00B61E51" w:rsidRDefault="00B61E51" w:rsidP="00B61E51">
      <w:pPr>
        <w:pStyle w:val="ConsPlusNormal"/>
        <w:ind w:right="424"/>
        <w:jc w:val="both"/>
      </w:pPr>
      <w:r>
        <w:t>Правительство Российской Федерации постановляет:</w:t>
      </w:r>
    </w:p>
    <w:p w:rsidR="00B61E51" w:rsidRDefault="00B61E51" w:rsidP="00B61E51">
      <w:pPr>
        <w:pStyle w:val="ConsPlusNormal"/>
        <w:ind w:right="424"/>
        <w:jc w:val="both"/>
      </w:pPr>
      <w:r>
        <w:t xml:space="preserve">1. Утвердить прилагаемые </w:t>
      </w:r>
      <w:hyperlink w:anchor="P31" w:history="1">
        <w:r>
          <w:rPr>
            <w:color w:val="0000FF"/>
          </w:rPr>
          <w:t>изменения</w:t>
        </w:r>
      </w:hyperlink>
      <w:r>
        <w:t>, которые вносятся в акты Правительства Российской Федерации в целях изменения порядка нормирования потерь электрической энергии на основе сравнительного анализа.</w:t>
      </w:r>
    </w:p>
    <w:p w:rsidR="00B61E51" w:rsidRDefault="00B61E51" w:rsidP="00B61E51">
      <w:pPr>
        <w:pStyle w:val="ConsPlusNormal"/>
        <w:ind w:right="424"/>
        <w:jc w:val="both"/>
      </w:pPr>
      <w:r>
        <w:t xml:space="preserve">2. Министерству энергетики Российской Федерации по согласованию с Федеральной службой по тарифам и Министерством экономического развития Российской Федерации в 6-месячный срок после вступления в силу </w:t>
      </w:r>
      <w:hyperlink w:anchor="P31" w:history="1">
        <w:r>
          <w:rPr>
            <w:color w:val="0000FF"/>
          </w:rPr>
          <w:t>изменений</w:t>
        </w:r>
      </w:hyperlink>
      <w:r>
        <w:t xml:space="preserve">, предусмотренных настоящим постановлением, утвердить </w:t>
      </w:r>
      <w:hyperlink r:id="rId7" w:history="1">
        <w:r>
          <w:rPr>
            <w:color w:val="0000FF"/>
          </w:rPr>
          <w:t>методику</w:t>
        </w:r>
      </w:hyperlink>
      <w:r>
        <w:t xml:space="preserve"> определения нормативов потерь электрической энергии при ее передаче по электрическим сетям, которая предусматривает необходимость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w:t>
      </w:r>
    </w:p>
    <w:p w:rsidR="00B61E51" w:rsidRDefault="00B61E51" w:rsidP="00B61E51">
      <w:pPr>
        <w:pStyle w:val="ConsPlusNormal"/>
        <w:ind w:right="424"/>
        <w:jc w:val="both"/>
      </w:pPr>
    </w:p>
    <w:p w:rsidR="00B61E51" w:rsidRDefault="00B61E51" w:rsidP="00B61E51">
      <w:pPr>
        <w:pStyle w:val="ConsPlusNormal"/>
        <w:ind w:right="424"/>
        <w:jc w:val="right"/>
      </w:pPr>
      <w:r>
        <w:t>Председатель Правительства</w:t>
      </w:r>
    </w:p>
    <w:p w:rsidR="00B61E51" w:rsidRDefault="00B61E51" w:rsidP="00B61E51">
      <w:pPr>
        <w:pStyle w:val="ConsPlusNormal"/>
        <w:ind w:right="424"/>
        <w:jc w:val="right"/>
      </w:pPr>
      <w:r>
        <w:t>Российской Федерации</w:t>
      </w:r>
    </w:p>
    <w:p w:rsidR="00B61E51" w:rsidRDefault="00B61E51" w:rsidP="00B61E51">
      <w:pPr>
        <w:pStyle w:val="ConsPlusNormal"/>
        <w:ind w:right="424"/>
        <w:jc w:val="right"/>
      </w:pPr>
      <w:r>
        <w:t>Д.МЕДВЕДЕВ</w:t>
      </w:r>
    </w:p>
    <w:p w:rsidR="00B61E51" w:rsidRDefault="00B61E51" w:rsidP="00B61E51">
      <w:pPr>
        <w:pStyle w:val="ConsPlusNormal"/>
        <w:ind w:right="424"/>
        <w:jc w:val="both"/>
      </w:pPr>
    </w:p>
    <w:p w:rsidR="00B61E51" w:rsidRDefault="00B61E51" w:rsidP="00B61E51">
      <w:pPr>
        <w:pStyle w:val="ConsPlusNormal"/>
        <w:ind w:right="424"/>
        <w:jc w:val="both"/>
      </w:pPr>
    </w:p>
    <w:p w:rsidR="00B61E51" w:rsidRDefault="00B61E51" w:rsidP="00B61E51">
      <w:pPr>
        <w:pStyle w:val="ConsPlusNormal"/>
        <w:ind w:right="424"/>
        <w:jc w:val="both"/>
      </w:pPr>
    </w:p>
    <w:p w:rsidR="00B61E51" w:rsidRDefault="00B61E51" w:rsidP="00B61E51">
      <w:pPr>
        <w:pStyle w:val="ConsPlusNormal"/>
        <w:ind w:right="424"/>
        <w:jc w:val="both"/>
      </w:pPr>
    </w:p>
    <w:p w:rsidR="00B61E51" w:rsidRDefault="00B61E51" w:rsidP="00B61E51">
      <w:pPr>
        <w:pStyle w:val="ConsPlusNormal"/>
        <w:ind w:right="424"/>
        <w:jc w:val="both"/>
      </w:pPr>
    </w:p>
    <w:p w:rsidR="00B61E51" w:rsidRDefault="00B61E51" w:rsidP="00B61E51">
      <w:pPr>
        <w:pStyle w:val="ConsPlusNormal"/>
        <w:ind w:right="424"/>
        <w:jc w:val="right"/>
        <w:outlineLvl w:val="0"/>
      </w:pPr>
      <w:r>
        <w:t>Утверждены</w:t>
      </w:r>
    </w:p>
    <w:p w:rsidR="00B61E51" w:rsidRDefault="00B61E51" w:rsidP="00B61E51">
      <w:pPr>
        <w:pStyle w:val="ConsPlusNormal"/>
        <w:ind w:right="424"/>
        <w:jc w:val="right"/>
      </w:pPr>
      <w:r>
        <w:t>постановлением Правительства</w:t>
      </w:r>
    </w:p>
    <w:p w:rsidR="00B61E51" w:rsidRDefault="00B61E51" w:rsidP="00B61E51">
      <w:pPr>
        <w:pStyle w:val="ConsPlusNormal"/>
        <w:ind w:right="424"/>
        <w:jc w:val="right"/>
      </w:pPr>
      <w:r>
        <w:t>Российской Федерации</w:t>
      </w:r>
    </w:p>
    <w:p w:rsidR="00B61E51" w:rsidRDefault="00B61E51" w:rsidP="00B61E51">
      <w:pPr>
        <w:pStyle w:val="ConsPlusNormal"/>
        <w:ind w:right="424"/>
        <w:jc w:val="right"/>
      </w:pPr>
      <w:r>
        <w:t>от 13 ноября 2013 г. N 1019</w:t>
      </w:r>
    </w:p>
    <w:p w:rsidR="00B61E51" w:rsidRDefault="00B61E51" w:rsidP="00B61E51">
      <w:pPr>
        <w:pStyle w:val="ConsPlusNormal"/>
        <w:ind w:right="424"/>
        <w:jc w:val="both"/>
      </w:pPr>
    </w:p>
    <w:p w:rsidR="00B61E51" w:rsidRDefault="00B61E51" w:rsidP="00B61E51">
      <w:pPr>
        <w:pStyle w:val="ConsPlusTitle"/>
        <w:ind w:right="424"/>
        <w:jc w:val="center"/>
      </w:pPr>
      <w:bookmarkStart w:id="0" w:name="P31"/>
      <w:bookmarkEnd w:id="0"/>
      <w:r>
        <w:t>ИЗМЕНЕНИЯ,</w:t>
      </w:r>
    </w:p>
    <w:p w:rsidR="00B61E51" w:rsidRDefault="00B61E51" w:rsidP="00B61E51">
      <w:pPr>
        <w:pStyle w:val="ConsPlusTitle"/>
        <w:ind w:right="424"/>
        <w:jc w:val="center"/>
      </w:pPr>
      <w:r>
        <w:t>КОТОРЫЕ ВНОСЯТСЯ В АКТЫ ПРАВИТЕЛЬСТВА РОССИЙСКОЙ ФЕДЕРАЦИИ</w:t>
      </w:r>
    </w:p>
    <w:p w:rsidR="00B61E51" w:rsidRDefault="00B61E51" w:rsidP="00B61E51">
      <w:pPr>
        <w:pStyle w:val="ConsPlusTitle"/>
        <w:ind w:right="424"/>
        <w:jc w:val="center"/>
      </w:pPr>
      <w:r>
        <w:t>В ЦЕЛЯХ ИЗМЕНЕНИЯ ПОРЯДКА НОРМИРОВАНИЯ ПОТЕРЬ ЭЛЕКТРИЧЕСКОЙ</w:t>
      </w:r>
    </w:p>
    <w:p w:rsidR="00B61E51" w:rsidRDefault="00B61E51" w:rsidP="00B61E51">
      <w:pPr>
        <w:pStyle w:val="ConsPlusTitle"/>
        <w:ind w:right="424"/>
        <w:jc w:val="center"/>
      </w:pPr>
      <w:r>
        <w:t>ЭНЕРГИИ НА ОСНОВЕ СРАВНИТЕЛЬНОГО АНАЛИЗА</w:t>
      </w:r>
    </w:p>
    <w:p w:rsidR="00B61E51" w:rsidRDefault="00B61E51" w:rsidP="00B61E51">
      <w:pPr>
        <w:pStyle w:val="ConsPlusNormal"/>
        <w:ind w:right="424"/>
        <w:jc w:val="center"/>
      </w:pPr>
    </w:p>
    <w:p w:rsidR="00B61E51" w:rsidRDefault="00B61E51" w:rsidP="00B61E51">
      <w:pPr>
        <w:pStyle w:val="ConsPlusNormal"/>
        <w:ind w:right="424"/>
        <w:jc w:val="center"/>
      </w:pPr>
      <w:r>
        <w:t>Список изменяющих документов</w:t>
      </w:r>
    </w:p>
    <w:p w:rsidR="00B61E51" w:rsidRDefault="00B61E51" w:rsidP="00B61E51">
      <w:pPr>
        <w:pStyle w:val="ConsPlusNormal"/>
        <w:ind w:right="424"/>
        <w:jc w:val="center"/>
      </w:pPr>
      <w:r>
        <w:t xml:space="preserve">(в ред. </w:t>
      </w:r>
      <w:hyperlink r:id="rId8" w:history="1">
        <w:r>
          <w:rPr>
            <w:color w:val="0000FF"/>
          </w:rPr>
          <w:t>Постановления</w:t>
        </w:r>
      </w:hyperlink>
      <w:r>
        <w:t xml:space="preserve"> Правительства РФ от 20.10.2016 N 1074)</w:t>
      </w:r>
    </w:p>
    <w:p w:rsidR="00B61E51" w:rsidRDefault="00B61E51" w:rsidP="00B61E51">
      <w:pPr>
        <w:pStyle w:val="ConsPlusNormal"/>
        <w:ind w:right="424"/>
        <w:jc w:val="both"/>
      </w:pPr>
    </w:p>
    <w:p w:rsidR="00B61E51" w:rsidRDefault="00B61E51" w:rsidP="00B61E51">
      <w:pPr>
        <w:pStyle w:val="ConsPlusNormal"/>
        <w:ind w:right="424"/>
        <w:jc w:val="both"/>
      </w:pPr>
      <w:r>
        <w:lastRenderedPageBreak/>
        <w:t xml:space="preserve">1. В </w:t>
      </w:r>
      <w:hyperlink r:id="rId9"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2007, N 14, ст. 1687; 2009, N 17, ст. 2088):</w:t>
      </w:r>
    </w:p>
    <w:p w:rsidR="00B61E51" w:rsidRDefault="00B61E51" w:rsidP="00B61E51">
      <w:pPr>
        <w:pStyle w:val="ConsPlusNormal"/>
        <w:ind w:right="424"/>
        <w:jc w:val="both"/>
      </w:pPr>
      <w:r>
        <w:t xml:space="preserve">а) </w:t>
      </w:r>
      <w:hyperlink r:id="rId10" w:history="1">
        <w:r>
          <w:rPr>
            <w:color w:val="0000FF"/>
          </w:rPr>
          <w:t>пункт 53</w:t>
        </w:r>
      </w:hyperlink>
      <w:r>
        <w:t xml:space="preserve"> изложить в следующей редакции:</w:t>
      </w:r>
    </w:p>
    <w:p w:rsidR="00B61E51" w:rsidRDefault="00B61E51" w:rsidP="00B61E51">
      <w:pPr>
        <w:pStyle w:val="ConsPlusNormal"/>
        <w:ind w:right="424"/>
        <w:jc w:val="both"/>
      </w:pPr>
      <w:r>
        <w:t>"53.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методикой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B61E51" w:rsidRDefault="00B61E51" w:rsidP="00B61E51">
      <w:pPr>
        <w:pStyle w:val="ConsPlusNormal"/>
        <w:ind w:right="424"/>
        <w:jc w:val="both"/>
      </w:pPr>
      <w:r>
        <w:t xml:space="preserve">б) </w:t>
      </w:r>
      <w:hyperlink r:id="rId11" w:history="1">
        <w:r>
          <w:rPr>
            <w:color w:val="0000FF"/>
          </w:rPr>
          <w:t>дополнить</w:t>
        </w:r>
      </w:hyperlink>
      <w:r>
        <w:t xml:space="preserve"> пунктом 54(1) следующего содержания:</w:t>
      </w:r>
    </w:p>
    <w:p w:rsidR="00B61E51" w:rsidRDefault="00B61E51" w:rsidP="00B61E51">
      <w:pPr>
        <w:pStyle w:val="ConsPlusNormal"/>
        <w:ind w:right="424"/>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B61E51" w:rsidRDefault="00B61E51" w:rsidP="00B61E51">
      <w:pPr>
        <w:pStyle w:val="ConsPlusNormal"/>
        <w:ind w:right="424"/>
        <w:jc w:val="both"/>
      </w:pPr>
      <w:r>
        <w:t xml:space="preserve">в) </w:t>
      </w:r>
      <w:hyperlink r:id="rId12" w:history="1">
        <w:r>
          <w:rPr>
            <w:color w:val="0000FF"/>
          </w:rPr>
          <w:t>пункт 55</w:t>
        </w:r>
      </w:hyperlink>
      <w:r>
        <w:t xml:space="preserve"> изложить в следующей редакции:</w:t>
      </w:r>
    </w:p>
    <w:p w:rsidR="00B61E51" w:rsidRDefault="00B61E51" w:rsidP="00B61E51">
      <w:pPr>
        <w:pStyle w:val="ConsPlusNormal"/>
        <w:ind w:right="424"/>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B61E51" w:rsidRDefault="00B61E51" w:rsidP="00B61E51">
      <w:pPr>
        <w:pStyle w:val="ConsPlusNormal"/>
        <w:ind w:right="424"/>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B61E51" w:rsidRDefault="00B61E51" w:rsidP="00B61E51">
      <w:pPr>
        <w:pStyle w:val="ConsPlusNormal"/>
        <w:ind w:right="424"/>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B61E51" w:rsidRDefault="00B61E51" w:rsidP="00B61E51">
      <w:pPr>
        <w:pStyle w:val="ConsPlusNormal"/>
        <w:ind w:right="424"/>
        <w:jc w:val="both"/>
      </w:pPr>
      <w:r>
        <w:t xml:space="preserve">2. В </w:t>
      </w:r>
      <w:hyperlink r:id="rId13" w:history="1">
        <w:r>
          <w:rPr>
            <w:color w:val="0000FF"/>
          </w:rPr>
          <w:t>Основах ценообразования</w:t>
        </w:r>
      </w:hyperlink>
      <w:r>
        <w:t xml:space="preserve">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w:t>
      </w:r>
      <w:r>
        <w:lastRenderedPageBreak/>
        <w:t>(Собрание законодательства Российской Федерации, 2012, N 4, ст. 504; N 16, ст. 1883; N 20, ст. 2539; N 23, ст. 3008; N 24, ст. 3185; N 28, ст. 3897; N 41, ст. 5636; 2013, N 1, ст. 68; N 22, ст. 2817; N 26, ст. 3337; N 31, ст. 4216):</w:t>
      </w:r>
    </w:p>
    <w:p w:rsidR="00B61E51" w:rsidRDefault="00B61E51" w:rsidP="00B61E51">
      <w:pPr>
        <w:pStyle w:val="ConsPlusNormal"/>
        <w:ind w:right="424"/>
        <w:jc w:val="both"/>
      </w:pPr>
      <w:r>
        <w:t xml:space="preserve">а) в </w:t>
      </w:r>
      <w:hyperlink r:id="rId14" w:history="1">
        <w:r>
          <w:rPr>
            <w:color w:val="0000FF"/>
          </w:rPr>
          <w:t>пункте 33</w:t>
        </w:r>
      </w:hyperlink>
      <w:r>
        <w:t>:</w:t>
      </w:r>
    </w:p>
    <w:p w:rsidR="00B61E51" w:rsidRDefault="00B61E51" w:rsidP="00B61E51">
      <w:pPr>
        <w:pStyle w:val="ConsPlusNormal"/>
        <w:ind w:right="424"/>
        <w:jc w:val="both"/>
      </w:pPr>
      <w:hyperlink r:id="rId15" w:history="1">
        <w:r>
          <w:rPr>
            <w:color w:val="0000FF"/>
          </w:rPr>
          <w:t>абзац восьмой</w:t>
        </w:r>
      </w:hyperlink>
      <w:r>
        <w:t xml:space="preserve"> дополнить словами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B61E51" w:rsidRDefault="00B61E51" w:rsidP="00B61E51">
      <w:pPr>
        <w:pStyle w:val="ConsPlusNormal"/>
        <w:ind w:right="424"/>
        <w:jc w:val="both"/>
      </w:pPr>
      <w:hyperlink r:id="rId16" w:history="1">
        <w:r>
          <w:rPr>
            <w:color w:val="0000FF"/>
          </w:rPr>
          <w:t>дополнить</w:t>
        </w:r>
      </w:hyperlink>
      <w:r>
        <w:t xml:space="preserve"> абзацами следующего содержания:</w:t>
      </w:r>
    </w:p>
    <w:p w:rsidR="00B61E51" w:rsidRDefault="00B61E51" w:rsidP="00B61E51">
      <w:pPr>
        <w:pStyle w:val="ConsPlusNormal"/>
        <w:ind w:right="424"/>
        <w:jc w:val="both"/>
      </w:pPr>
      <w:r>
        <w:t xml:space="preserve">"Абзац утратил силу. - </w:t>
      </w:r>
      <w:hyperlink r:id="rId17" w:history="1">
        <w:r>
          <w:rPr>
            <w:color w:val="0000FF"/>
          </w:rPr>
          <w:t>Постановление</w:t>
        </w:r>
      </w:hyperlink>
      <w:r>
        <w:t xml:space="preserve"> Правительства РФ от 20.10.2016 N 1074.</w:t>
      </w:r>
    </w:p>
    <w:p w:rsidR="00B61E51" w:rsidRDefault="00B61E51" w:rsidP="00B61E51">
      <w:pPr>
        <w:pStyle w:val="ConsPlusNormal"/>
        <w:ind w:right="424"/>
        <w:jc w:val="both"/>
      </w:pPr>
      <w:r>
        <w:t>Уровень потерь электрической энергии территориальной сетевой организации устанавливается на каждый последующий год долгосрочного периода регулирования равным уровню потерь, установленному на первый год долгосрочного периода регулирования.</w:t>
      </w:r>
    </w:p>
    <w:p w:rsidR="00B61E51" w:rsidRDefault="00B61E51" w:rsidP="00B61E51">
      <w:pPr>
        <w:pStyle w:val="ConsPlusNormal"/>
        <w:ind w:right="424"/>
        <w:jc w:val="both"/>
      </w:pPr>
      <w:r>
        <w:t>Уровень потерь электрической энергии при ее передаче по электрическим сетям организации по управлению единой национальной (общероссийской) электрической сетью определяется на уровне норматива потерь электрической энергии при ее передаче по электрическим сетям единой национальной (общероссийской) электрической сети, утвержденного Министерством энергетики Российской Федерации.";</w:t>
      </w:r>
    </w:p>
    <w:p w:rsidR="00B61E51" w:rsidRDefault="00B61E51" w:rsidP="00B61E51">
      <w:pPr>
        <w:pStyle w:val="ConsPlusNormal"/>
        <w:ind w:right="424"/>
        <w:jc w:val="both"/>
      </w:pPr>
      <w:r>
        <w:t xml:space="preserve">б) </w:t>
      </w:r>
      <w:hyperlink r:id="rId18" w:history="1">
        <w:r>
          <w:rPr>
            <w:color w:val="0000FF"/>
          </w:rPr>
          <w:t>пункт 34</w:t>
        </w:r>
      </w:hyperlink>
      <w:r>
        <w:t xml:space="preserve"> дополнить абзацами следующего содержания:</w:t>
      </w:r>
    </w:p>
    <w:p w:rsidR="00B61E51" w:rsidRDefault="00B61E51" w:rsidP="00B61E51">
      <w:pPr>
        <w:pStyle w:val="ConsPlusNormal"/>
        <w:ind w:right="424"/>
        <w:jc w:val="both"/>
      </w:pPr>
      <w:r>
        <w:t>"Для сетевых организаций, первый и (или) последующие долгосрочные периоды регулирования которых начинаются с 2014 года, порядок, установленный абзацами десятым - двенадцатым настоящего пункта, не применяется, а для целей настоящего пункта используется величина потерь электрической энергии при ее передаче по электрическим сетям, определенная органами исполнительной власти субъектов Российской Федерации в области государственного регулирования тарифов на каждый год долгосрочного периода регулирования территориальной сетевой организации исходя из уровня потерь электрической энергии при ее передаче по электрическим сетям, определенного органами исполнительной власти субъектов Российской Федерации в области государственного регулирования тарифов, и величины планового отпуска электрической энергии в сеть, рассчитанной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утвержденными Федеральной службой по тарифам.</w:t>
      </w:r>
    </w:p>
    <w:p w:rsidR="00B61E51" w:rsidRDefault="00B61E51" w:rsidP="00B61E51">
      <w:pPr>
        <w:pStyle w:val="ConsPlusNormal"/>
        <w:ind w:right="424"/>
        <w:jc w:val="both"/>
      </w:pPr>
      <w:r>
        <w:t>Величина потерь электрической энергии при ее передаче по электрическим сетям по каждому субъекту Российской Федерации на каждый год долгосрочного периода регулирования организации по управлению единой национальной (общероссийской) электрической сетью определяется Федеральной службой по тарифам исходя из уровня потерь электрической энергии при ее передаче по электрическим сетям единой национальной (общероссийской) электрической сети и величины планового отпуска электрической энергии из сети, рассчитанной в соответствии с методическими указаниями по расчету тарифов на услуги по передаче электрической энергии по единой национальной (общероссийской) электрической сети, утвержденными Федеральной службой по тарифам. 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единой национальной (общероссийской) электрической сети величина технологического расхода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w:t>
      </w:r>
    </w:p>
    <w:p w:rsidR="00B61E51" w:rsidRDefault="00B61E51" w:rsidP="00B61E51">
      <w:pPr>
        <w:pStyle w:val="ConsPlusNormal"/>
        <w:ind w:right="424"/>
        <w:jc w:val="both"/>
      </w:pPr>
      <w:r>
        <w:t xml:space="preserve">в) в </w:t>
      </w:r>
      <w:hyperlink r:id="rId19" w:history="1">
        <w:r>
          <w:rPr>
            <w:color w:val="0000FF"/>
          </w:rPr>
          <w:t>абзаце седьмом пункта 37</w:t>
        </w:r>
      </w:hyperlink>
      <w:r>
        <w:t xml:space="preserve"> слова "технологического расхода (потерь) электроэнергии" заменить словами "потерь электрической энергии при ее передаче по электрическим сетям";</w:t>
      </w:r>
    </w:p>
    <w:p w:rsidR="00B61E51" w:rsidRDefault="00B61E51" w:rsidP="00B61E51">
      <w:pPr>
        <w:pStyle w:val="ConsPlusNormal"/>
        <w:ind w:right="424"/>
        <w:jc w:val="both"/>
      </w:pPr>
      <w:r>
        <w:t xml:space="preserve">г) в </w:t>
      </w:r>
      <w:hyperlink r:id="rId20" w:history="1">
        <w:r>
          <w:rPr>
            <w:color w:val="0000FF"/>
          </w:rPr>
          <w:t>пункте 38</w:t>
        </w:r>
      </w:hyperlink>
      <w:r>
        <w:t>:</w:t>
      </w:r>
    </w:p>
    <w:p w:rsidR="00B61E51" w:rsidRDefault="00B61E51" w:rsidP="00B61E51">
      <w:pPr>
        <w:pStyle w:val="ConsPlusNormal"/>
        <w:ind w:right="424"/>
        <w:jc w:val="both"/>
      </w:pPr>
      <w:hyperlink r:id="rId21" w:history="1">
        <w:r>
          <w:rPr>
            <w:color w:val="0000FF"/>
          </w:rPr>
          <w:t>абзац шестой</w:t>
        </w:r>
      </w:hyperlink>
      <w:r>
        <w:t xml:space="preserve"> дополнить словами "(начиная с 2014 года для первого и (или) последующих долгосрочных периодов регулирования - уровень потерь электрической энергии при ее передаче по электрическим сетям)";</w:t>
      </w:r>
    </w:p>
    <w:p w:rsidR="00B61E51" w:rsidRDefault="00B61E51" w:rsidP="00B61E51">
      <w:pPr>
        <w:pStyle w:val="ConsPlusNormal"/>
        <w:ind w:right="424"/>
        <w:jc w:val="both"/>
      </w:pPr>
      <w:r>
        <w:t xml:space="preserve">абзацы третий - пятый утратили силу. - </w:t>
      </w:r>
      <w:hyperlink r:id="rId22" w:history="1">
        <w:r>
          <w:rPr>
            <w:color w:val="0000FF"/>
          </w:rPr>
          <w:t>Постановление</w:t>
        </w:r>
      </w:hyperlink>
      <w:r>
        <w:t xml:space="preserve"> Правительства РФ от 20.10.2016 N 1074;</w:t>
      </w:r>
    </w:p>
    <w:p w:rsidR="00B61E51" w:rsidRDefault="00B61E51" w:rsidP="00B61E51">
      <w:pPr>
        <w:pStyle w:val="ConsPlusNormal"/>
        <w:ind w:right="424"/>
        <w:jc w:val="both"/>
      </w:pPr>
      <w:r>
        <w:t xml:space="preserve">д) </w:t>
      </w:r>
      <w:hyperlink r:id="rId23" w:history="1">
        <w:r>
          <w:rPr>
            <w:color w:val="0000FF"/>
          </w:rPr>
          <w:t>пункт 60</w:t>
        </w:r>
      </w:hyperlink>
      <w:r>
        <w:t xml:space="preserve"> дополнить абзацем следующего содержания:</w:t>
      </w:r>
    </w:p>
    <w:p w:rsidR="00B61E51" w:rsidRDefault="00B61E51" w:rsidP="00B61E51">
      <w:pPr>
        <w:pStyle w:val="ConsPlusNormal"/>
        <w:ind w:right="424"/>
        <w:jc w:val="both"/>
      </w:pPr>
      <w:r>
        <w:lastRenderedPageBreak/>
        <w:t>"При формировании прогнозного баланса на 2015 год и далее порядок, установленный абзацем пятым настоящего пункта, не применяется для территориальных сетевых организаций, при этом используется величина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на соответствующий период регулирования, определяемая с учетом данных, предоставленных органами исполнительной власти субъектов Российской Федерации в области государственного регулирования тарифов, исходя из динамики фактических потерь электрической энергии и величин, учтенных в сводных прогнозных балансах производства и поставок электрической энергии (мощности) предшествующих периодов регулирования, а также исходя из темпов их снижения, предусмотренных программой в области энергосбережения и повышения энергетической эффективности соответствующей территориальной сетевой организации.";</w:t>
      </w:r>
    </w:p>
    <w:p w:rsidR="00B61E51" w:rsidRDefault="00B61E51" w:rsidP="00B61E51">
      <w:pPr>
        <w:pStyle w:val="ConsPlusNormal"/>
        <w:ind w:right="424"/>
        <w:jc w:val="both"/>
      </w:pPr>
      <w:r>
        <w:t xml:space="preserve">е) в </w:t>
      </w:r>
      <w:hyperlink r:id="rId24" w:history="1">
        <w:r>
          <w:rPr>
            <w:color w:val="0000FF"/>
          </w:rPr>
          <w:t>абзаце десятом пункта 63</w:t>
        </w:r>
      </w:hyperlink>
      <w:r>
        <w:t xml:space="preserve"> слова "нормативных технологических потерь в сетях" заменить словами "потерь электрической энергии при ее передаче по электрическим сетям";</w:t>
      </w:r>
    </w:p>
    <w:p w:rsidR="00B61E51" w:rsidRDefault="00B61E51" w:rsidP="00B61E51">
      <w:pPr>
        <w:pStyle w:val="ConsPlusNormal"/>
        <w:ind w:right="424"/>
        <w:jc w:val="both"/>
      </w:pPr>
      <w:r>
        <w:t xml:space="preserve">ж) в </w:t>
      </w:r>
      <w:hyperlink r:id="rId25" w:history="1">
        <w:r>
          <w:rPr>
            <w:color w:val="0000FF"/>
          </w:rPr>
          <w:t>пункте 80</w:t>
        </w:r>
      </w:hyperlink>
      <w:r>
        <w:t>:</w:t>
      </w:r>
    </w:p>
    <w:p w:rsidR="00B61E51" w:rsidRDefault="00B61E51" w:rsidP="00B61E51">
      <w:pPr>
        <w:pStyle w:val="ConsPlusNormal"/>
        <w:ind w:right="424"/>
        <w:jc w:val="both"/>
      </w:pPr>
      <w:r>
        <w:t xml:space="preserve">в </w:t>
      </w:r>
      <w:hyperlink r:id="rId26" w:history="1">
        <w:r>
          <w:rPr>
            <w:color w:val="0000FF"/>
          </w:rPr>
          <w:t>абзацах шестом</w:t>
        </w:r>
      </w:hyperlink>
      <w:r>
        <w:t xml:space="preserve">, </w:t>
      </w:r>
      <w:hyperlink r:id="rId27" w:history="1">
        <w:r>
          <w:rPr>
            <w:color w:val="0000FF"/>
          </w:rPr>
          <w:t>восьмом</w:t>
        </w:r>
      </w:hyperlink>
      <w:r>
        <w:t xml:space="preserve"> и </w:t>
      </w:r>
      <w:hyperlink r:id="rId28" w:history="1">
        <w:r>
          <w:rPr>
            <w:color w:val="0000FF"/>
          </w:rPr>
          <w:t>девятом</w:t>
        </w:r>
      </w:hyperlink>
      <w:r>
        <w:t xml:space="preserve"> слова "нормативных технологических потерь" заменить словами "потерь электрической энергии при ее передаче по электрическим сетям";</w:t>
      </w:r>
    </w:p>
    <w:p w:rsidR="00B61E51" w:rsidRDefault="00B61E51" w:rsidP="00B61E51">
      <w:pPr>
        <w:pStyle w:val="ConsPlusNormal"/>
        <w:ind w:right="424"/>
        <w:jc w:val="both"/>
      </w:pPr>
      <w:hyperlink r:id="rId29" w:history="1">
        <w:r>
          <w:rPr>
            <w:color w:val="0000FF"/>
          </w:rPr>
          <w:t>абзац двенадцатый</w:t>
        </w:r>
      </w:hyperlink>
      <w:r>
        <w:t xml:space="preserve"> изложить в следующей редакции:</w:t>
      </w:r>
    </w:p>
    <w:p w:rsidR="00B61E51" w:rsidRDefault="00B61E51" w:rsidP="00B61E51">
      <w:pPr>
        <w:pStyle w:val="ConsPlusNormal"/>
        <w:ind w:right="424"/>
        <w:jc w:val="both"/>
      </w:pPr>
      <w:r>
        <w:t>"В случае отсутствия до 1 октября года, предшествующего году начала долгосрочного периода регулирования, утвержденных Министерством энергетики Российской Федерации нормативов потерь электрической энергии при ее передаче по электрическим сетям на период регулирования величина потерь электрической энергии определяется исходя из сводного прогнозного баланса производства и поставок электрической энергии (мощности) на соответствующий расчетный период регулирования и нормативов потерь электрической энергии, утвержденных Министерством энергетики Российской Федерации, на предыдущие периоды регулирования. В указанном случае к величине потерь электрической энергии на период регулирования применяется понижающий коэффициент 0,9.";</w:t>
      </w:r>
    </w:p>
    <w:p w:rsidR="00B61E51" w:rsidRDefault="00B61E51" w:rsidP="00B61E51">
      <w:pPr>
        <w:pStyle w:val="ConsPlusNormal"/>
        <w:ind w:right="424"/>
        <w:jc w:val="both"/>
      </w:pPr>
      <w:r>
        <w:t xml:space="preserve">з) в </w:t>
      </w:r>
      <w:hyperlink r:id="rId30" w:history="1">
        <w:r>
          <w:rPr>
            <w:color w:val="0000FF"/>
          </w:rPr>
          <w:t>пункте 81</w:t>
        </w:r>
      </w:hyperlink>
      <w:r>
        <w:t>:</w:t>
      </w:r>
    </w:p>
    <w:p w:rsidR="00B61E51" w:rsidRDefault="00B61E51" w:rsidP="00B61E51">
      <w:pPr>
        <w:pStyle w:val="ConsPlusNormal"/>
        <w:ind w:right="424"/>
        <w:jc w:val="both"/>
      </w:pPr>
      <w:r>
        <w:t xml:space="preserve">в </w:t>
      </w:r>
      <w:hyperlink r:id="rId31" w:history="1">
        <w:r>
          <w:rPr>
            <w:color w:val="0000FF"/>
          </w:rPr>
          <w:t>абзаце шестом</w:t>
        </w:r>
      </w:hyperlink>
      <w:r>
        <w:t xml:space="preserve"> слова "технологических потерь" заменить словами "потерь электрической энергии при ее передаче по электрическим сетям";</w:t>
      </w:r>
    </w:p>
    <w:p w:rsidR="00B61E51" w:rsidRDefault="00B61E51" w:rsidP="00B61E51">
      <w:pPr>
        <w:pStyle w:val="ConsPlusNormal"/>
        <w:ind w:right="424"/>
        <w:jc w:val="both"/>
      </w:pPr>
      <w:r>
        <w:t xml:space="preserve">после абзаца шестого </w:t>
      </w:r>
      <w:hyperlink r:id="rId32" w:history="1">
        <w:r>
          <w:rPr>
            <w:color w:val="0000FF"/>
          </w:rPr>
          <w:t>дополнить</w:t>
        </w:r>
      </w:hyperlink>
      <w:r>
        <w:t xml:space="preserve"> абзацем следующего содержания:</w:t>
      </w:r>
    </w:p>
    <w:p w:rsidR="00B61E51" w:rsidRDefault="00B61E51" w:rsidP="00B61E51">
      <w:pPr>
        <w:pStyle w:val="ConsPlusNormal"/>
        <w:ind w:right="424"/>
        <w:jc w:val="both"/>
      </w:pPr>
      <w:r>
        <w:t>"Начиная с 2014 года для первого и (или) последующих долгосрочных периодов регулирования порядок, установленный абзацем шестым настоящего пункта, не применяется, а в указанных ценах (тарифах)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учитываются расходы на оплату потерь электрической энергии при ее передаче по электрическим сетям, определенные органами исполнительной власти субъектов Российской Федерации в области государственного регулирования тарифов, в соответствии с настоящим документом. При этом для сетевых организаций, при регулировании цен (тарифов) которых используется метод экономически обоснованных расходов (затрат), величина потерь электрической энергии, учитываемая в указанных ценах (тарифах), определяется органами исполнительной власти субъектов Российской Федерации в области государственного регулирования тарифов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исходя из уровня потерь электрической энергии при ее передаче по электрическим сетям, определенного по уровням напряжения как минимальное значение из норматива потерь электрической энергии при ее передаче по электрическим сетям на соответствующем уровне напряжения, утвержденного Министерством энергетики Российской Федерации, и уровня фактических потерь электрической энергии при ее передаче по электрическим сетям за последний истекший год, а также величины планового отпуска электрической энергии в сеть.";</w:t>
      </w:r>
    </w:p>
    <w:p w:rsidR="00B61E51" w:rsidRDefault="00B61E51" w:rsidP="00B61E51">
      <w:pPr>
        <w:pStyle w:val="ConsPlusNormal"/>
        <w:ind w:right="424"/>
        <w:jc w:val="both"/>
      </w:pPr>
      <w:r>
        <w:t xml:space="preserve">в </w:t>
      </w:r>
      <w:hyperlink r:id="rId33" w:history="1">
        <w:r>
          <w:rPr>
            <w:color w:val="0000FF"/>
          </w:rPr>
          <w:t>абзаце седьмом</w:t>
        </w:r>
      </w:hyperlink>
      <w:r>
        <w:t xml:space="preserve"> слова "нормативных технологических потерь" заменить словами "потерь электрической энергии при ее передаче по электрическим сетям";</w:t>
      </w:r>
    </w:p>
    <w:p w:rsidR="00B61E51" w:rsidRDefault="00B61E51" w:rsidP="00B61E51">
      <w:pPr>
        <w:pStyle w:val="ConsPlusNormal"/>
        <w:ind w:right="424"/>
        <w:jc w:val="both"/>
      </w:pPr>
      <w:r>
        <w:t xml:space="preserve">в </w:t>
      </w:r>
      <w:hyperlink r:id="rId34" w:history="1">
        <w:r>
          <w:rPr>
            <w:color w:val="0000FF"/>
          </w:rPr>
          <w:t>абзацах шестнадцатом</w:t>
        </w:r>
      </w:hyperlink>
      <w:r>
        <w:t xml:space="preserve"> и </w:t>
      </w:r>
      <w:hyperlink r:id="rId35" w:history="1">
        <w:r>
          <w:rPr>
            <w:color w:val="0000FF"/>
          </w:rPr>
          <w:t>семнадцатом</w:t>
        </w:r>
      </w:hyperlink>
      <w:r>
        <w:t xml:space="preserve"> слова "технологических потерь электрической энергии в электрических сетях" заменить словами "потерь электрической энергии при ее передаче по </w:t>
      </w:r>
      <w:r>
        <w:lastRenderedPageBreak/>
        <w:t>электрическим сетям".</w:t>
      </w:r>
    </w:p>
    <w:p w:rsidR="00B61E51" w:rsidRPr="00394F6C" w:rsidRDefault="00B61E51" w:rsidP="00B61E51">
      <w:pPr>
        <w:widowControl w:val="0"/>
        <w:autoSpaceDE w:val="0"/>
        <w:autoSpaceDN w:val="0"/>
        <w:spacing w:after="0" w:line="240" w:lineRule="auto"/>
        <w:ind w:right="424"/>
        <w:rPr>
          <w:rFonts w:ascii="Tahoma" w:eastAsia="Times New Roman" w:hAnsi="Tahoma" w:cs="Tahoma"/>
          <w:sz w:val="20"/>
          <w:szCs w:val="20"/>
          <w:lang w:eastAsia="ru-RU"/>
        </w:rPr>
      </w:pPr>
    </w:p>
    <w:p w:rsidR="00B61E51" w:rsidRDefault="00B61E51" w:rsidP="00B61E51">
      <w:pPr>
        <w:autoSpaceDE w:val="0"/>
        <w:autoSpaceDN w:val="0"/>
        <w:adjustRightInd w:val="0"/>
        <w:spacing w:after="0" w:line="240" w:lineRule="auto"/>
        <w:ind w:right="424"/>
        <w:jc w:val="right"/>
        <w:outlineLvl w:val="0"/>
        <w:rPr>
          <w:rFonts w:ascii="Tahoma" w:hAnsi="Tahoma" w:cs="Tahoma"/>
          <w:sz w:val="20"/>
          <w:szCs w:val="20"/>
        </w:rPr>
      </w:pPr>
      <w:r>
        <w:rPr>
          <w:rFonts w:ascii="Tahoma" w:hAnsi="Tahoma" w:cs="Tahoma"/>
          <w:sz w:val="20"/>
          <w:szCs w:val="20"/>
        </w:rPr>
        <w:t>ПРИЛОЖЕНИЕ 3</w:t>
      </w:r>
    </w:p>
    <w:p w:rsidR="00B61E51" w:rsidRDefault="00B61E51" w:rsidP="00B61E51">
      <w:pPr>
        <w:autoSpaceDE w:val="0"/>
        <w:autoSpaceDN w:val="0"/>
        <w:adjustRightInd w:val="0"/>
        <w:spacing w:after="0" w:line="240" w:lineRule="auto"/>
        <w:ind w:right="424"/>
        <w:jc w:val="right"/>
        <w:rPr>
          <w:rFonts w:ascii="Tahoma" w:hAnsi="Tahoma" w:cs="Tahoma"/>
          <w:sz w:val="20"/>
          <w:szCs w:val="20"/>
        </w:rPr>
      </w:pPr>
      <w:r>
        <w:rPr>
          <w:rFonts w:ascii="Tahoma" w:hAnsi="Tahoma" w:cs="Tahoma"/>
          <w:sz w:val="20"/>
          <w:szCs w:val="20"/>
        </w:rPr>
        <w:t>к приказу комитета</w:t>
      </w:r>
    </w:p>
    <w:p w:rsidR="00B61E51" w:rsidRDefault="00B61E51" w:rsidP="00B61E51">
      <w:pPr>
        <w:autoSpaceDE w:val="0"/>
        <w:autoSpaceDN w:val="0"/>
        <w:adjustRightInd w:val="0"/>
        <w:spacing w:after="0" w:line="240" w:lineRule="auto"/>
        <w:ind w:right="424"/>
        <w:jc w:val="right"/>
        <w:rPr>
          <w:rFonts w:ascii="Tahoma" w:hAnsi="Tahoma" w:cs="Tahoma"/>
          <w:sz w:val="20"/>
          <w:szCs w:val="20"/>
        </w:rPr>
      </w:pPr>
      <w:r>
        <w:rPr>
          <w:rFonts w:ascii="Tahoma" w:hAnsi="Tahoma" w:cs="Tahoma"/>
          <w:sz w:val="20"/>
          <w:szCs w:val="20"/>
        </w:rPr>
        <w:t>по тарифам и ценовой политике</w:t>
      </w:r>
    </w:p>
    <w:p w:rsidR="00B61E51" w:rsidRDefault="00B61E51" w:rsidP="00B61E51">
      <w:pPr>
        <w:autoSpaceDE w:val="0"/>
        <w:autoSpaceDN w:val="0"/>
        <w:adjustRightInd w:val="0"/>
        <w:spacing w:after="0" w:line="240" w:lineRule="auto"/>
        <w:ind w:right="424"/>
        <w:jc w:val="right"/>
        <w:rPr>
          <w:rFonts w:ascii="Tahoma" w:hAnsi="Tahoma" w:cs="Tahoma"/>
          <w:sz w:val="20"/>
          <w:szCs w:val="20"/>
        </w:rPr>
      </w:pPr>
      <w:r>
        <w:rPr>
          <w:rFonts w:ascii="Tahoma" w:hAnsi="Tahoma" w:cs="Tahoma"/>
          <w:sz w:val="20"/>
          <w:szCs w:val="20"/>
        </w:rPr>
        <w:t>Ленинградской области</w:t>
      </w:r>
    </w:p>
    <w:p w:rsidR="00B61E51" w:rsidRPr="004047BA" w:rsidRDefault="00B61E51" w:rsidP="00B61E51">
      <w:pPr>
        <w:autoSpaceDE w:val="0"/>
        <w:autoSpaceDN w:val="0"/>
        <w:adjustRightInd w:val="0"/>
        <w:spacing w:after="0" w:line="240" w:lineRule="auto"/>
        <w:ind w:right="424"/>
        <w:jc w:val="right"/>
        <w:rPr>
          <w:rFonts w:ascii="Tahoma" w:hAnsi="Tahoma" w:cs="Tahoma"/>
          <w:sz w:val="20"/>
          <w:szCs w:val="20"/>
        </w:rPr>
      </w:pPr>
      <w:r w:rsidRPr="004047BA">
        <w:rPr>
          <w:rFonts w:ascii="Tahoma" w:hAnsi="Tahoma" w:cs="Tahoma"/>
          <w:sz w:val="20"/>
          <w:szCs w:val="20"/>
        </w:rPr>
        <w:t>от 30.12.202</w:t>
      </w:r>
      <w:r>
        <w:rPr>
          <w:rFonts w:ascii="Tahoma" w:hAnsi="Tahoma" w:cs="Tahoma"/>
          <w:sz w:val="20"/>
          <w:szCs w:val="20"/>
        </w:rPr>
        <w:t>1</w:t>
      </w:r>
      <w:r w:rsidRPr="004047BA">
        <w:rPr>
          <w:rFonts w:ascii="Tahoma" w:hAnsi="Tahoma" w:cs="Tahoma"/>
          <w:sz w:val="20"/>
          <w:szCs w:val="20"/>
        </w:rPr>
        <w:t xml:space="preserve"> N 6</w:t>
      </w:r>
      <w:r>
        <w:rPr>
          <w:rFonts w:ascii="Tahoma" w:hAnsi="Tahoma" w:cs="Tahoma"/>
          <w:sz w:val="20"/>
          <w:szCs w:val="20"/>
        </w:rPr>
        <w:t>03</w:t>
      </w:r>
      <w:r w:rsidRPr="004047BA">
        <w:rPr>
          <w:rFonts w:ascii="Tahoma" w:hAnsi="Tahoma" w:cs="Tahoma"/>
          <w:sz w:val="20"/>
          <w:szCs w:val="20"/>
        </w:rPr>
        <w:t>-п</w:t>
      </w:r>
    </w:p>
    <w:p w:rsidR="00B61E51" w:rsidRDefault="00B61E51" w:rsidP="00B61E51">
      <w:pPr>
        <w:autoSpaceDE w:val="0"/>
        <w:autoSpaceDN w:val="0"/>
        <w:adjustRightInd w:val="0"/>
        <w:spacing w:after="0" w:line="240" w:lineRule="auto"/>
        <w:ind w:right="424"/>
        <w:jc w:val="both"/>
        <w:rPr>
          <w:rFonts w:ascii="Tahoma" w:hAnsi="Tahoma" w:cs="Tahoma"/>
          <w:sz w:val="20"/>
          <w:szCs w:val="20"/>
        </w:rPr>
      </w:pPr>
    </w:p>
    <w:p w:rsidR="00B61E51" w:rsidRDefault="00B61E51" w:rsidP="00B61E51">
      <w:pPr>
        <w:autoSpaceDE w:val="0"/>
        <w:autoSpaceDN w:val="0"/>
        <w:adjustRightInd w:val="0"/>
        <w:spacing w:after="0" w:line="240" w:lineRule="auto"/>
        <w:ind w:right="424"/>
        <w:jc w:val="center"/>
        <w:rPr>
          <w:rFonts w:ascii="Tahoma" w:hAnsi="Tahoma" w:cs="Tahoma"/>
          <w:b/>
          <w:bCs/>
          <w:sz w:val="20"/>
          <w:szCs w:val="20"/>
        </w:rPr>
      </w:pPr>
      <w:bookmarkStart w:id="1" w:name="_GoBack"/>
      <w:r>
        <w:rPr>
          <w:rFonts w:ascii="Tahoma" w:hAnsi="Tahoma" w:cs="Tahoma"/>
          <w:b/>
          <w:bCs/>
          <w:sz w:val="20"/>
          <w:szCs w:val="20"/>
        </w:rPr>
        <w:t>ДОЛГОСРОЧНЫЕ ПАРАМЕТРЫ</w:t>
      </w:r>
    </w:p>
    <w:bookmarkEnd w:id="1"/>
    <w:p w:rsidR="00B61E51" w:rsidRDefault="00B61E51" w:rsidP="00B61E51">
      <w:pPr>
        <w:autoSpaceDE w:val="0"/>
        <w:autoSpaceDN w:val="0"/>
        <w:adjustRightInd w:val="0"/>
        <w:spacing w:after="0" w:line="240" w:lineRule="auto"/>
        <w:ind w:right="424"/>
        <w:jc w:val="center"/>
        <w:rPr>
          <w:rFonts w:ascii="Tahoma" w:hAnsi="Tahoma" w:cs="Tahoma"/>
          <w:b/>
          <w:bCs/>
          <w:sz w:val="20"/>
          <w:szCs w:val="20"/>
        </w:rPr>
      </w:pPr>
      <w:r>
        <w:rPr>
          <w:rFonts w:ascii="Tahoma" w:hAnsi="Tahoma" w:cs="Tahoma"/>
          <w:b/>
          <w:bCs/>
          <w:sz w:val="20"/>
          <w:szCs w:val="20"/>
        </w:rPr>
        <w:t>РЕГУЛИРОВАНИЯ ДЛЯ ТЕРРИТОРИАЛЬНЫХ СЕТЕВЫХ ОРГАНИЗАЦИЙ,</w:t>
      </w:r>
    </w:p>
    <w:p w:rsidR="00B61E51" w:rsidRDefault="00B61E51" w:rsidP="00B61E51">
      <w:pPr>
        <w:autoSpaceDE w:val="0"/>
        <w:autoSpaceDN w:val="0"/>
        <w:adjustRightInd w:val="0"/>
        <w:spacing w:after="0" w:line="240" w:lineRule="auto"/>
        <w:ind w:right="424"/>
        <w:jc w:val="center"/>
        <w:rPr>
          <w:rFonts w:ascii="Tahoma" w:hAnsi="Tahoma" w:cs="Tahoma"/>
          <w:b/>
          <w:bCs/>
          <w:sz w:val="20"/>
          <w:szCs w:val="20"/>
        </w:rPr>
      </w:pPr>
      <w:r>
        <w:rPr>
          <w:rFonts w:ascii="Tahoma" w:hAnsi="Tahoma" w:cs="Tahoma"/>
          <w:b/>
          <w:bCs/>
          <w:sz w:val="20"/>
          <w:szCs w:val="20"/>
        </w:rPr>
        <w:t>В ОТНОШЕНИИ КОТОРЫХ ТАРИФЫ НА УСЛУГИ ПО ПЕРЕДАЧЕ</w:t>
      </w:r>
    </w:p>
    <w:p w:rsidR="00B61E51" w:rsidRDefault="00B61E51" w:rsidP="00B61E51">
      <w:pPr>
        <w:autoSpaceDE w:val="0"/>
        <w:autoSpaceDN w:val="0"/>
        <w:adjustRightInd w:val="0"/>
        <w:spacing w:after="0" w:line="240" w:lineRule="auto"/>
        <w:ind w:right="424"/>
        <w:jc w:val="center"/>
        <w:rPr>
          <w:rFonts w:ascii="Tahoma" w:hAnsi="Tahoma" w:cs="Tahoma"/>
          <w:b/>
          <w:bCs/>
          <w:sz w:val="20"/>
          <w:szCs w:val="20"/>
        </w:rPr>
      </w:pPr>
      <w:r>
        <w:rPr>
          <w:rFonts w:ascii="Tahoma" w:hAnsi="Tahoma" w:cs="Tahoma"/>
          <w:b/>
          <w:bCs/>
          <w:sz w:val="20"/>
          <w:szCs w:val="20"/>
        </w:rPr>
        <w:t>ЭЛЕКТРИЧЕСКОЙ ЭНЕРГИИ УСТАНАВЛИВАЮТСЯ НА ОСНОВЕ ДОЛГОСРОЧНЫХ</w:t>
      </w:r>
    </w:p>
    <w:p w:rsidR="00B61E51" w:rsidRDefault="00B61E51" w:rsidP="00B61E51">
      <w:pPr>
        <w:autoSpaceDE w:val="0"/>
        <w:autoSpaceDN w:val="0"/>
        <w:adjustRightInd w:val="0"/>
        <w:spacing w:after="0" w:line="240" w:lineRule="auto"/>
        <w:ind w:right="424"/>
        <w:jc w:val="center"/>
        <w:rPr>
          <w:rFonts w:ascii="Tahoma" w:hAnsi="Tahoma" w:cs="Tahoma"/>
          <w:b/>
          <w:bCs/>
          <w:sz w:val="20"/>
          <w:szCs w:val="20"/>
        </w:rPr>
      </w:pPr>
      <w:r>
        <w:rPr>
          <w:rFonts w:ascii="Tahoma" w:hAnsi="Tahoma" w:cs="Tahoma"/>
          <w:b/>
          <w:bCs/>
          <w:sz w:val="20"/>
          <w:szCs w:val="20"/>
        </w:rPr>
        <w:t>ПАРАМЕТРОВ РЕГУЛИРОВАНИЯ ДЕЯТЕЛЬНОСТИ ТЕРРИТОРИАЛЬНЫХ</w:t>
      </w:r>
    </w:p>
    <w:p w:rsidR="00B61E51" w:rsidRDefault="00B61E51" w:rsidP="00B61E51">
      <w:pPr>
        <w:autoSpaceDE w:val="0"/>
        <w:autoSpaceDN w:val="0"/>
        <w:adjustRightInd w:val="0"/>
        <w:spacing w:after="0" w:line="240" w:lineRule="auto"/>
        <w:ind w:right="424"/>
        <w:jc w:val="center"/>
        <w:rPr>
          <w:rFonts w:ascii="Tahoma" w:hAnsi="Tahoma" w:cs="Tahoma"/>
          <w:b/>
          <w:bCs/>
          <w:sz w:val="20"/>
          <w:szCs w:val="20"/>
        </w:rPr>
      </w:pPr>
      <w:r>
        <w:rPr>
          <w:rFonts w:ascii="Tahoma" w:hAnsi="Tahoma" w:cs="Tahoma"/>
          <w:b/>
          <w:bCs/>
          <w:sz w:val="20"/>
          <w:szCs w:val="20"/>
        </w:rPr>
        <w:t>СЕТЕВЫХ ОРГАНИЗАЦИЙ</w:t>
      </w:r>
    </w:p>
    <w:p w:rsidR="00B61E51" w:rsidRDefault="00B61E51" w:rsidP="00B61E51">
      <w:pPr>
        <w:autoSpaceDE w:val="0"/>
        <w:autoSpaceDN w:val="0"/>
        <w:adjustRightInd w:val="0"/>
        <w:spacing w:after="0" w:line="240" w:lineRule="auto"/>
        <w:ind w:left="-567" w:right="424"/>
        <w:jc w:val="both"/>
        <w:rPr>
          <w:rFonts w:ascii="Tahoma" w:hAnsi="Tahoma" w:cs="Tahoma"/>
          <w:sz w:val="20"/>
          <w:szCs w:val="20"/>
        </w:rPr>
      </w:pPr>
      <w:r w:rsidRPr="00AF4DF7">
        <w:rPr>
          <w:noProof/>
          <w:lang w:eastAsia="ru-RU"/>
        </w:rPr>
        <w:drawing>
          <wp:inline distT="0" distB="0" distL="0" distR="0" wp14:anchorId="159F58D2" wp14:editId="1D1F391F">
            <wp:extent cx="6570980" cy="223456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570980" cy="2234565"/>
                    </a:xfrm>
                    <a:prstGeom prst="rect">
                      <a:avLst/>
                    </a:prstGeom>
                  </pic:spPr>
                </pic:pic>
              </a:graphicData>
            </a:graphic>
          </wp:inline>
        </w:drawing>
      </w:r>
    </w:p>
    <w:p w:rsidR="00B61E51" w:rsidRDefault="00B61E51" w:rsidP="00B61E51">
      <w:pPr>
        <w:autoSpaceDE w:val="0"/>
        <w:autoSpaceDN w:val="0"/>
        <w:adjustRightInd w:val="0"/>
        <w:spacing w:after="0" w:line="240" w:lineRule="auto"/>
        <w:ind w:left="-567" w:right="424"/>
        <w:jc w:val="both"/>
        <w:rPr>
          <w:rFonts w:ascii="Tahoma" w:hAnsi="Tahoma" w:cs="Tahoma"/>
          <w:sz w:val="20"/>
          <w:szCs w:val="20"/>
        </w:rPr>
      </w:pPr>
      <w:r w:rsidRPr="00AF4DF7">
        <w:rPr>
          <w:noProof/>
          <w:lang w:eastAsia="ru-RU"/>
        </w:rPr>
        <w:drawing>
          <wp:inline distT="0" distB="0" distL="0" distR="0" wp14:anchorId="51DF2304" wp14:editId="784F389A">
            <wp:extent cx="6600825" cy="133413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6600825" cy="1334135"/>
                    </a:xfrm>
                    <a:prstGeom prst="rect">
                      <a:avLst/>
                    </a:prstGeom>
                  </pic:spPr>
                </pic:pic>
              </a:graphicData>
            </a:graphic>
          </wp:inline>
        </w:drawing>
      </w:r>
    </w:p>
    <w:p w:rsidR="00B61E51" w:rsidRDefault="00B61E51" w:rsidP="00B61E51">
      <w:pPr>
        <w:widowControl w:val="0"/>
        <w:autoSpaceDE w:val="0"/>
        <w:autoSpaceDN w:val="0"/>
        <w:spacing w:after="0" w:line="240" w:lineRule="auto"/>
        <w:ind w:right="424"/>
        <w:jc w:val="both"/>
        <w:rPr>
          <w:rFonts w:ascii="Tahoma" w:eastAsia="Times New Roman" w:hAnsi="Tahoma" w:cs="Tahoma"/>
          <w:sz w:val="20"/>
          <w:szCs w:val="20"/>
          <w:lang w:eastAsia="ru-RU"/>
        </w:rPr>
      </w:pPr>
      <w:r w:rsidRPr="004C65EA">
        <w:rPr>
          <w:rFonts w:cs="Tahoma"/>
          <w:i/>
          <w:color w:val="000000"/>
          <w:sz w:val="24"/>
          <w:szCs w:val="24"/>
        </w:rPr>
        <w:t>Источник публикации: документ опубликован на официальном интернет-портале Администрации Ленинградской области</w:t>
      </w:r>
      <w:r>
        <w:rPr>
          <w:rFonts w:cs="Tahoma"/>
          <w:i/>
          <w:color w:val="000000"/>
          <w:sz w:val="24"/>
          <w:szCs w:val="24"/>
        </w:rPr>
        <w:t xml:space="preserve"> </w:t>
      </w:r>
      <w:hyperlink r:id="rId38" w:history="1">
        <w:r w:rsidRPr="004C65EA">
          <w:rPr>
            <w:rStyle w:val="a3"/>
            <w:rFonts w:cs="Tahoma"/>
            <w:i/>
            <w:color w:val="666666"/>
            <w:sz w:val="24"/>
            <w:szCs w:val="24"/>
            <w:bdr w:val="none" w:sz="0" w:space="0" w:color="auto" w:frame="1"/>
          </w:rPr>
          <w:t>http://www.lenobl.ru</w:t>
        </w:r>
      </w:hyperlink>
    </w:p>
    <w:p w:rsidR="000F1F7F" w:rsidRDefault="000F1F7F" w:rsidP="00B61E51">
      <w:pPr>
        <w:ind w:right="424"/>
      </w:pPr>
    </w:p>
    <w:sectPr w:rsidR="000F1F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D6199"/>
    <w:multiLevelType w:val="hybridMultilevel"/>
    <w:tmpl w:val="20E2C68A"/>
    <w:lvl w:ilvl="0" w:tplc="E7124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A9"/>
    <w:rsid w:val="000F1F7F"/>
    <w:rsid w:val="00B61E51"/>
    <w:rsid w:val="00CE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52EA-49A8-40BB-8893-47F671B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E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E51"/>
    <w:rPr>
      <w:color w:val="0000FF"/>
      <w:u w:val="single"/>
    </w:rPr>
  </w:style>
  <w:style w:type="paragraph" w:styleId="a4">
    <w:name w:val="List Paragraph"/>
    <w:basedOn w:val="a"/>
    <w:uiPriority w:val="34"/>
    <w:qFormat/>
    <w:rsid w:val="00B61E51"/>
    <w:pPr>
      <w:ind w:left="720"/>
      <w:contextualSpacing/>
    </w:pPr>
  </w:style>
  <w:style w:type="paragraph" w:customStyle="1" w:styleId="ConsPlusTitle">
    <w:name w:val="ConsPlusTitle"/>
    <w:rsid w:val="00B61E5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rmal">
    <w:name w:val="ConsPlusNormal"/>
    <w:rsid w:val="00B61E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E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466047B08F98B1283633C68B4B130F118D2E7608ED8852453EF1C557F0E4534D327EBCF262EE0DSDPCM" TargetMode="External"/><Relationship Id="rId18" Type="http://schemas.openxmlformats.org/officeDocument/2006/relationships/hyperlink" Target="consultantplus://offline/ref=E4466047B08F98B1283633C68B4B130F118D2E7608ED8852453EF1C557F0E4534D327EBCF1S6P3M" TargetMode="External"/><Relationship Id="rId26" Type="http://schemas.openxmlformats.org/officeDocument/2006/relationships/hyperlink" Target="consultantplus://offline/ref=E4466047B08F98B1283633C68B4B130F118D2E7608ED8852453EF1C557F0E4534D327EBCF262EA00SDPEM" TargetMode="External"/><Relationship Id="rId39" Type="http://schemas.openxmlformats.org/officeDocument/2006/relationships/fontTable" Target="fontTable.xml"/><Relationship Id="rId21" Type="http://schemas.openxmlformats.org/officeDocument/2006/relationships/hyperlink" Target="consultantplus://offline/ref=E4466047B08F98B1283633C68B4B130F118D2E7608ED8852453EF1C557F0E4534D327EBCF262EC00SDPEM" TargetMode="External"/><Relationship Id="rId34" Type="http://schemas.openxmlformats.org/officeDocument/2006/relationships/hyperlink" Target="consultantplus://offline/ref=E4466047B08F98B1283633C68B4B130F118D2E7608ED8852453EF1C557F0E4534D327EBCF6S6P4M" TargetMode="External"/><Relationship Id="rId7" Type="http://schemas.openxmlformats.org/officeDocument/2006/relationships/hyperlink" Target="consultantplus://offline/ref=E4466047B08F98B1283633C68B4B130F1288287308EF8852453EF1C557F0E4534D327EBCF262EE09SDP2M" TargetMode="External"/><Relationship Id="rId12" Type="http://schemas.openxmlformats.org/officeDocument/2006/relationships/hyperlink" Target="consultantplus://offline/ref=E4466047B08F98B1283633C68B4B130F118D2E790CEA8852453EF1C557F0E4534D327EBCF262EB0DSDPFM" TargetMode="External"/><Relationship Id="rId17" Type="http://schemas.openxmlformats.org/officeDocument/2006/relationships/hyperlink" Target="consultantplus://offline/ref=E4466047B08F98B1283633C68B4B130F12882B7306E28852453EF1C557F0E4534D327EBCF262EE09SDP3M" TargetMode="External"/><Relationship Id="rId25" Type="http://schemas.openxmlformats.org/officeDocument/2006/relationships/hyperlink" Target="consultantplus://offline/ref=E4466047B08F98B1283633C68B4B130F118D2E7608ED8852453EF1C557F0E4534D327EBCF262EA00SDPBM" TargetMode="External"/><Relationship Id="rId33" Type="http://schemas.openxmlformats.org/officeDocument/2006/relationships/hyperlink" Target="consultantplus://offline/ref=E4466047B08F98B1283633C68B4B130F118D2E7608ED8852453EF1C557F0E4534D327EBCF262EB09SDP2M" TargetMode="External"/><Relationship Id="rId38" Type="http://schemas.openxmlformats.org/officeDocument/2006/relationships/hyperlink" Target="http://www.lenobl.ru/" TargetMode="External"/><Relationship Id="rId2" Type="http://schemas.openxmlformats.org/officeDocument/2006/relationships/styles" Target="styles.xml"/><Relationship Id="rId16" Type="http://schemas.openxmlformats.org/officeDocument/2006/relationships/hyperlink" Target="consultantplus://offline/ref=E4466047B08F98B1283633C68B4B130F118D2E7608ED8852453EF1C557F0E4534D327EBCF262EC08SDPCM" TargetMode="External"/><Relationship Id="rId20" Type="http://schemas.openxmlformats.org/officeDocument/2006/relationships/hyperlink" Target="consultantplus://offline/ref=E4466047B08F98B1283633C68B4B130F118D2E7608ED8852453EF1C557F0E4534D327EBCF262EC00SDPBM" TargetMode="External"/><Relationship Id="rId29" Type="http://schemas.openxmlformats.org/officeDocument/2006/relationships/hyperlink" Target="consultantplus://offline/ref=E4466047B08F98B1283633C68B4B130F118D2E7608ED8852453EF1C557F0E4534D327EBCF262EB09SDPAM" TargetMode="External"/><Relationship Id="rId1" Type="http://schemas.openxmlformats.org/officeDocument/2006/relationships/numbering" Target="numbering.xml"/><Relationship Id="rId6" Type="http://schemas.openxmlformats.org/officeDocument/2006/relationships/hyperlink" Target="consultantplus://offline/ref=E4466047B08F98B1283633C68B4B130F12882B7306E28852453EF1C557F0E4534D327EBCF262EE09SDP3M" TargetMode="External"/><Relationship Id="rId11" Type="http://schemas.openxmlformats.org/officeDocument/2006/relationships/hyperlink" Target="consultantplus://offline/ref=E4466047B08F98B1283633C68B4B130F118D2E790CEA8852453EF1C557F0E4534D327EBCF262ED0ESDP2M" TargetMode="External"/><Relationship Id="rId24" Type="http://schemas.openxmlformats.org/officeDocument/2006/relationships/hyperlink" Target="consultantplus://offline/ref=E4466047B08F98B1283633C68B4B130F118D2E7608ED8852453EF1C557F0E4534D327EBCF262EA09SDP2M" TargetMode="External"/><Relationship Id="rId32" Type="http://schemas.openxmlformats.org/officeDocument/2006/relationships/hyperlink" Target="consultantplus://offline/ref=E4466047B08F98B1283633C68B4B130F118D2E7608ED8852453EF1C557F0E4534D327EBCF262EB09SDP3M" TargetMode="External"/><Relationship Id="rId37" Type="http://schemas.openxmlformats.org/officeDocument/2006/relationships/image" Target="media/image2.png"/><Relationship Id="rId40"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E4466047B08F98B1283633C68B4B130F118D2E7608ED8852453EF1C557F0E4534D327EBCF262EC0BSDPFM" TargetMode="External"/><Relationship Id="rId23" Type="http://schemas.openxmlformats.org/officeDocument/2006/relationships/hyperlink" Target="consultantplus://offline/ref=E4466047B08F98B1283633C68B4B130F118D2E7608ED8852453EF1C557F0E4534D327EBCF262ED01SDP8M" TargetMode="External"/><Relationship Id="rId28" Type="http://schemas.openxmlformats.org/officeDocument/2006/relationships/hyperlink" Target="consultantplus://offline/ref=E4466047B08F98B1283633C68B4B130F118D2E7608ED8852453EF1C557F0E4534D327EBCF262EA00SDP3M" TargetMode="External"/><Relationship Id="rId36" Type="http://schemas.openxmlformats.org/officeDocument/2006/relationships/image" Target="media/image1.png"/><Relationship Id="rId10" Type="http://schemas.openxmlformats.org/officeDocument/2006/relationships/hyperlink" Target="consultantplus://offline/ref=E4466047B08F98B1283633C68B4B130F118D2E790CEA8852453EF1C557F0E4534D327EBCF262EB0DSDP9M" TargetMode="External"/><Relationship Id="rId19" Type="http://schemas.openxmlformats.org/officeDocument/2006/relationships/hyperlink" Target="consultantplus://offline/ref=E4466047B08F98B1283633C68B4B130F118D2E7608ED8852453EF1C557F0E4534D327EBCF262EC0ESDP2M" TargetMode="External"/><Relationship Id="rId31" Type="http://schemas.openxmlformats.org/officeDocument/2006/relationships/hyperlink" Target="consultantplus://offline/ref=E4466047B08F98B1283633C68B4B130F118D2E7608ED8852453EF1C557F0E4534D327EBCF262EB09SDP3M" TargetMode="External"/><Relationship Id="rId4" Type="http://schemas.openxmlformats.org/officeDocument/2006/relationships/webSettings" Target="webSettings.xml"/><Relationship Id="rId9" Type="http://schemas.openxmlformats.org/officeDocument/2006/relationships/hyperlink" Target="consultantplus://offline/ref=E4466047B08F98B1283633C68B4B130F118D2E790CEA8852453EF1C557F0E4534D327EBCF262ED0ESDP2M" TargetMode="External"/><Relationship Id="rId14" Type="http://schemas.openxmlformats.org/officeDocument/2006/relationships/hyperlink" Target="consultantplus://offline/ref=E4466047B08F98B1283633C68B4B130F118D2E7608ED8852453EF1C557F0E4534D327EBCF262EC08SDPCM" TargetMode="External"/><Relationship Id="rId22" Type="http://schemas.openxmlformats.org/officeDocument/2006/relationships/hyperlink" Target="consultantplus://offline/ref=E4466047B08F98B1283633C68B4B130F12882B7306E28852453EF1C557F0E4534D327EBCF262EE09SDP3M" TargetMode="External"/><Relationship Id="rId27" Type="http://schemas.openxmlformats.org/officeDocument/2006/relationships/hyperlink" Target="consultantplus://offline/ref=E4466047B08F98B1283633C68B4B130F118D2E7608ED8852453EF1C557F0E4534D327EB8SFP0M" TargetMode="External"/><Relationship Id="rId30" Type="http://schemas.openxmlformats.org/officeDocument/2006/relationships/hyperlink" Target="consultantplus://offline/ref=E4466047B08F98B1283633C68B4B130F118D2E7608ED8852453EF1C557F0E4534D327EBCF262EB09SDPFM" TargetMode="External"/><Relationship Id="rId35" Type="http://schemas.openxmlformats.org/officeDocument/2006/relationships/hyperlink" Target="consultantplus://offline/ref=E4466047B08F98B1283633C68B4B130F118D2E7608ED8852453EF1C557F0E4534D327EBCF262EB08SDPDM" TargetMode="External"/><Relationship Id="rId8" Type="http://schemas.openxmlformats.org/officeDocument/2006/relationships/hyperlink" Target="consultantplus://offline/ref=E4466047B08F98B1283633C68B4B130F12882B7306E28852453EF1C557F0E4534D327EBCF262EE09SDP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2832</Words>
  <Characters>16148</Characters>
  <Application>Microsoft Office Word</Application>
  <DocSecurity>0</DocSecurity>
  <Lines>134</Lines>
  <Paragraphs>37</Paragraphs>
  <ScaleCrop>false</ScaleCrop>
  <Company>АО ЛОЭСК</Company>
  <LinksUpToDate>false</LinksUpToDate>
  <CharactersWithSpaces>18943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 Всеволод Сергеевич</dc:creator>
  <cp:keywords/>
  <dc:description/>
  <cp:lastModifiedBy>Осипов Всеволод Сергеевич</cp:lastModifiedBy>
  <cp:revision>2</cp:revision>
  <dcterms:created xsi:type="dcterms:W3CDTF">2023-03-06T11:47:00Z</dcterms:created>
  <dcterms:modified xsi:type="dcterms:W3CDTF">2023-03-06T11:48:00Z</dcterms:modified>
</cp:coreProperties>
</file>