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6E318404" w:rsidR="004029C4" w:rsidRDefault="000503F3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4D31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ФаворитХоф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Варшавке</w:t>
      </w:r>
      <w:r w:rsidR="004D311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ФаворитХоф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Варшавке»</w:t>
      </w:r>
      <w:r w:rsidR="004D311D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Поставщик, в лице </w:t>
      </w:r>
      <w:r>
        <w:rPr>
          <w:rFonts w:ascii="Times New Roman" w:hAnsi="Times New Roman" w:cs="Times New Roman"/>
          <w:sz w:val="24"/>
          <w:szCs w:val="24"/>
        </w:rPr>
        <w:t xml:space="preserve">Менеджера по продаже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Анатольевича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Б/Н от 07.11.2019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14:paraId="3B1D1743" w14:textId="7563AF2E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="000503F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0503F3">
        <w:rPr>
          <w:rFonts w:ascii="Times New Roman" w:hAnsi="Times New Roman" w:cs="Times New Roman"/>
          <w:sz w:val="24"/>
          <w:szCs w:val="24"/>
        </w:rPr>
        <w:t xml:space="preserve"> Романа Павловича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503F3">
        <w:rPr>
          <w:rFonts w:ascii="Times New Roman" w:hAnsi="Times New Roman" w:cs="Times New Roman"/>
          <w:sz w:val="24"/>
          <w:szCs w:val="24"/>
        </w:rPr>
        <w:t>доверенности № 733-1/2020 от 28 июля 2020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4CD99D54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C50830">
        <w:rPr>
          <w:rFonts w:ascii="Times New Roman" w:hAnsi="Times New Roman" w:cs="Times New Roman"/>
          <w:sz w:val="24"/>
          <w:szCs w:val="24"/>
        </w:rPr>
        <w:t>легковой автомобиль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036000B7" w14:textId="18F92842" w:rsidR="000905C3" w:rsidRPr="004D311D" w:rsidRDefault="00F31620" w:rsidP="00216D01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</w:t>
      </w:r>
      <w:r w:rsidR="00B922A8">
        <w:rPr>
          <w:rFonts w:ascii="Times New Roman" w:hAnsi="Times New Roman" w:cs="Times New Roman"/>
          <w:sz w:val="24"/>
          <w:szCs w:val="24"/>
        </w:rPr>
        <w:t>то нахождения склада Поставщика</w:t>
      </w:r>
      <w:r w:rsidR="00216D01" w:rsidRPr="00216D01">
        <w:rPr>
          <w:rFonts w:ascii="Times New Roman" w:hAnsi="Times New Roman" w:cs="Times New Roman"/>
          <w:sz w:val="24"/>
          <w:szCs w:val="24"/>
        </w:rPr>
        <w:t xml:space="preserve"> 117545</w:t>
      </w:r>
      <w:r w:rsidR="00216D01">
        <w:rPr>
          <w:rFonts w:ascii="Times New Roman" w:hAnsi="Times New Roman" w:cs="Times New Roman"/>
          <w:sz w:val="24"/>
          <w:szCs w:val="24"/>
        </w:rPr>
        <w:t>г. Москва, 1-Дорожный проезд, дом 4, стр.1</w:t>
      </w:r>
      <w:r w:rsidR="00B922A8">
        <w:rPr>
          <w:rFonts w:ascii="Times New Roman" w:hAnsi="Times New Roman" w:cs="Times New Roman"/>
          <w:sz w:val="24"/>
          <w:szCs w:val="24"/>
        </w:rPr>
        <w:t>.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77777777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5F2608F4" w14:textId="50258883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 xml:space="preserve">в размере </w:t>
      </w:r>
      <w:r w:rsidR="000503F3">
        <w:rPr>
          <w:color w:val="000000"/>
        </w:rPr>
        <w:t>6 750 000</w:t>
      </w:r>
      <w:r w:rsidRPr="0090754E">
        <w:rPr>
          <w:color w:val="000000"/>
        </w:rPr>
        <w:t xml:space="preserve"> (</w:t>
      </w:r>
      <w:r w:rsidR="000503F3">
        <w:rPr>
          <w:color w:val="000000"/>
        </w:rPr>
        <w:t>Шесть миллионов семьсот пятьдесят тысяч руб. 00 коп.) руб.</w:t>
      </w:r>
      <w:r w:rsidRPr="0090754E">
        <w:rPr>
          <w:color w:val="000000"/>
        </w:rPr>
        <w:t xml:space="preserve">, без НДС, кроме того НДС по ставке 20 % – </w:t>
      </w:r>
      <w:r w:rsidR="000503F3">
        <w:rPr>
          <w:color w:val="000000"/>
        </w:rPr>
        <w:t>1 350 000</w:t>
      </w:r>
      <w:r>
        <w:rPr>
          <w:color w:val="000000"/>
        </w:rPr>
        <w:t xml:space="preserve"> (</w:t>
      </w:r>
      <w:r w:rsidR="000503F3">
        <w:rPr>
          <w:color w:val="000000"/>
        </w:rPr>
        <w:t>Один миллион триста пятьдесят тысяч руб. 00 коп.) руб.</w:t>
      </w:r>
      <w:r>
        <w:rPr>
          <w:color w:val="000000"/>
        </w:rPr>
        <w:t>,</w:t>
      </w:r>
      <w:r w:rsidRPr="0090754E">
        <w:rPr>
          <w:color w:val="000000"/>
        </w:rPr>
        <w:t xml:space="preserve"> и всего составляет </w:t>
      </w:r>
      <w:r w:rsidR="000503F3">
        <w:rPr>
          <w:color w:val="000000"/>
        </w:rPr>
        <w:t>8 100 000,00</w:t>
      </w:r>
      <w:r w:rsidRPr="0090754E">
        <w:rPr>
          <w:color w:val="000000"/>
        </w:rPr>
        <w:t xml:space="preserve"> (</w:t>
      </w:r>
      <w:r w:rsidR="000503F3">
        <w:rPr>
          <w:color w:val="000000"/>
        </w:rPr>
        <w:t>Восемь миллионов сто тысяч руб. 00 коп.</w:t>
      </w:r>
      <w:r w:rsidRPr="0090754E">
        <w:rPr>
          <w:color w:val="000000"/>
        </w:rPr>
        <w:t xml:space="preserve">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3750182A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EB6EB9">
        <w:t>30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proofErr w:type="gramStart"/>
      <w:r w:rsidR="00BC7F2D">
        <w:t xml:space="preserve">5 </w:t>
      </w:r>
      <w:r w:rsidRPr="00C156D0">
        <w:t xml:space="preserve"> </w:t>
      </w:r>
      <w:r w:rsidR="00071BF2">
        <w:t>(</w:t>
      </w:r>
      <w:proofErr w:type="gramEnd"/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</w:t>
      </w:r>
      <w:r w:rsidR="00EB6EB9">
        <w:rPr>
          <w:noProof/>
          <w:color w:val="000000"/>
        </w:rPr>
        <w:t>70</w:t>
      </w:r>
      <w:r w:rsidR="003C3933" w:rsidRPr="00B71170">
        <w:rPr>
          <w:noProof/>
          <w:color w:val="000000"/>
        </w:rPr>
        <w:t xml:space="preserve">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52A82798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 w:rsidR="00764B5A">
        <w:rPr>
          <w:color w:val="000000"/>
          <w:spacing w:val="3"/>
        </w:rPr>
        <w:t>2</w:t>
      </w:r>
      <w:r>
        <w:rPr>
          <w:color w:val="000000"/>
          <w:spacing w:val="3"/>
        </w:rPr>
        <w:t xml:space="preserve">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 xml:space="preserve">товара </w:t>
      </w:r>
      <w:r w:rsidR="00764B5A">
        <w:rPr>
          <w:color w:val="000000"/>
          <w:spacing w:val="3"/>
        </w:rPr>
        <w:t>150 000</w:t>
      </w:r>
      <w:r w:rsidRPr="00507629">
        <w:rPr>
          <w:color w:val="000000"/>
          <w:spacing w:val="3"/>
        </w:rPr>
        <w:t xml:space="preserve"> (</w:t>
      </w:r>
      <w:r w:rsidR="00764B5A">
        <w:rPr>
          <w:color w:val="000000"/>
          <w:spacing w:val="3"/>
        </w:rPr>
        <w:t>Сто пятьдесят тысяч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</w:t>
      </w:r>
      <w:r w:rsidRPr="00507629">
        <w:rPr>
          <w:color w:val="000000"/>
          <w:spacing w:val="3"/>
        </w:rPr>
        <w:lastRenderedPageBreak/>
        <w:t>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lastRenderedPageBreak/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lastRenderedPageBreak/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1ED1B890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9F04CA">
        <w:t>Общество с ограниченной ответственностью «</w:t>
      </w:r>
      <w:proofErr w:type="spellStart"/>
      <w:r w:rsidR="009F04CA">
        <w:t>ФаворитХоф</w:t>
      </w:r>
      <w:proofErr w:type="spellEnd"/>
      <w:r w:rsidR="009F04CA">
        <w:t xml:space="preserve"> на Варшавке»</w:t>
      </w:r>
      <w:r w:rsidR="00FB2D65" w:rsidRPr="0065757E">
        <w:rPr>
          <w:lang w:eastAsia="ar-SA"/>
        </w:rPr>
        <w:t xml:space="preserve"> (</w:t>
      </w:r>
      <w:r w:rsidR="009F04CA">
        <w:rPr>
          <w:lang w:eastAsia="ar-SA"/>
        </w:rPr>
        <w:t>ООО</w:t>
      </w:r>
      <w:r w:rsidR="00FB2D65" w:rsidRPr="0065757E">
        <w:rPr>
          <w:lang w:eastAsia="ar-SA"/>
        </w:rPr>
        <w:t xml:space="preserve"> «</w:t>
      </w:r>
      <w:proofErr w:type="spellStart"/>
      <w:r w:rsidR="009F04CA">
        <w:t>ФаворитХоф</w:t>
      </w:r>
      <w:proofErr w:type="spellEnd"/>
      <w:r w:rsidR="009F04CA">
        <w:t xml:space="preserve"> на Варшавке</w:t>
      </w:r>
      <w:r w:rsidR="00FB2D65" w:rsidRPr="0065757E">
        <w:rPr>
          <w:lang w:eastAsia="ar-SA"/>
        </w:rPr>
        <w:t>»)</w:t>
      </w:r>
    </w:p>
    <w:p w14:paraId="000E777B" w14:textId="376680C1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Юридический адрес: </w:t>
      </w:r>
      <w:r w:rsidR="006F2D0B">
        <w:rPr>
          <w:lang w:eastAsia="ar-SA"/>
        </w:rPr>
        <w:t>117545, г. Москва, 1- Дорожный проезд, дом 4, стр.1</w:t>
      </w:r>
    </w:p>
    <w:p w14:paraId="460A5511" w14:textId="3E663EB5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Фактический адрес: </w:t>
      </w:r>
      <w:r w:rsidR="006F2D0B">
        <w:rPr>
          <w:lang w:eastAsia="ar-SA"/>
        </w:rPr>
        <w:t>117545, г. Москва, 1- Дорожный проезд, дом 4, стр.1</w:t>
      </w:r>
    </w:p>
    <w:p w14:paraId="156E4D8A" w14:textId="2FEEDA70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 xml:space="preserve">авлений: </w:t>
      </w:r>
      <w:r w:rsidR="006F2D0B">
        <w:rPr>
          <w:lang w:eastAsia="ar-SA"/>
        </w:rPr>
        <w:t>117545, г. Москва, 1- Дорожный проезд, дом 4, стр.1</w:t>
      </w:r>
    </w:p>
    <w:p w14:paraId="43A15883" w14:textId="5CE6547A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</w:t>
      </w:r>
      <w:r w:rsidR="006F2D0B">
        <w:rPr>
          <w:lang w:eastAsia="ar-SA"/>
        </w:rPr>
        <w:t>: 8 (495) 786 25 25</w:t>
      </w:r>
      <w:r w:rsidRPr="00674DA2">
        <w:rPr>
          <w:lang w:eastAsia="ar-SA"/>
        </w:rPr>
        <w:t xml:space="preserve">, </w:t>
      </w:r>
    </w:p>
    <w:p w14:paraId="1FCD67F8" w14:textId="1000BF90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ИНН </w:t>
      </w:r>
      <w:r w:rsidR="006F2D0B">
        <w:rPr>
          <w:lang w:eastAsia="ar-SA"/>
        </w:rPr>
        <w:t xml:space="preserve">7703764644 </w:t>
      </w:r>
      <w:r w:rsidRPr="00674DA2">
        <w:rPr>
          <w:lang w:eastAsia="ar-SA"/>
        </w:rPr>
        <w:t xml:space="preserve">КПП </w:t>
      </w:r>
      <w:r w:rsidR="006F2D0B">
        <w:rPr>
          <w:lang w:eastAsia="ar-SA"/>
        </w:rPr>
        <w:t>772601001</w:t>
      </w:r>
      <w:r w:rsidR="005D008D">
        <w:rPr>
          <w:lang w:eastAsia="ar-SA"/>
        </w:rPr>
        <w:t xml:space="preserve"> ОГРН </w:t>
      </w:r>
      <w:r w:rsidR="006F2D0B">
        <w:rPr>
          <w:lang w:eastAsia="ar-SA"/>
        </w:rPr>
        <w:t>1127746184741</w:t>
      </w:r>
    </w:p>
    <w:p w14:paraId="261A486C" w14:textId="3E1F00EF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 xml:space="preserve">анк </w:t>
      </w:r>
      <w:r w:rsidR="006F2D0B">
        <w:rPr>
          <w:lang w:eastAsia="ar-SA"/>
        </w:rPr>
        <w:t>ПАО Сбербанк г. Москва</w:t>
      </w:r>
    </w:p>
    <w:p w14:paraId="59591AF8" w14:textId="6081DCE0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</w:t>
      </w:r>
      <w:r w:rsidR="006F2D0B">
        <w:rPr>
          <w:lang w:eastAsia="ar-SA"/>
        </w:rPr>
        <w:t>40702810538040029222</w:t>
      </w:r>
    </w:p>
    <w:p w14:paraId="4A6C7DBA" w14:textId="3D39E101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</w:t>
      </w:r>
      <w:proofErr w:type="gramStart"/>
      <w:r w:rsidRPr="00674DA2">
        <w:rPr>
          <w:lang w:eastAsia="ar-SA"/>
        </w:rPr>
        <w:t xml:space="preserve">с </w:t>
      </w:r>
      <w:r w:rsidR="006F2D0B">
        <w:rPr>
          <w:lang w:eastAsia="ar-SA"/>
        </w:rPr>
        <w:t xml:space="preserve"> 30101810400000000225</w:t>
      </w:r>
      <w:proofErr w:type="gramEnd"/>
    </w:p>
    <w:p w14:paraId="3F20160C" w14:textId="0D04063D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</w:t>
      </w:r>
      <w:r w:rsidR="006F2D0B">
        <w:rPr>
          <w:lang w:eastAsia="ar-SA"/>
        </w:rPr>
        <w:t>044525225</w:t>
      </w:r>
    </w:p>
    <w:p w14:paraId="4CFA9D28" w14:textId="5C3118C9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ОКОПФ </w:t>
      </w:r>
      <w:r w:rsidR="006F2D0B">
        <w:rPr>
          <w:lang w:eastAsia="ar-SA"/>
        </w:rPr>
        <w:t>12300</w:t>
      </w:r>
      <w:r w:rsidR="001C634E">
        <w:rPr>
          <w:lang w:eastAsia="ar-SA"/>
        </w:rPr>
        <w:t xml:space="preserve"> ОКПО</w:t>
      </w:r>
      <w:r>
        <w:rPr>
          <w:lang w:eastAsia="ar-SA"/>
        </w:rPr>
        <w:t xml:space="preserve"> </w:t>
      </w:r>
      <w:r w:rsidR="006F2D0B">
        <w:rPr>
          <w:lang w:eastAsia="ar-SA"/>
        </w:rPr>
        <w:t>09147911</w:t>
      </w:r>
      <w:r w:rsidR="005D008D">
        <w:rPr>
          <w:lang w:eastAsia="ar-SA"/>
        </w:rPr>
        <w:t xml:space="preserve"> ОКТМО </w:t>
      </w:r>
      <w:r w:rsidR="006F2D0B">
        <w:rPr>
          <w:lang w:eastAsia="ar-SA"/>
        </w:rPr>
        <w:t>45925000000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52E244AC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  <w:r w:rsidR="006F2D0B">
              <w:rPr>
                <w:lang w:eastAsia="ar-SA"/>
              </w:rPr>
              <w:t>Р.П. Гилев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2494878" w14:textId="77777777" w:rsidR="006F2D0B" w:rsidRDefault="006F2D0B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16BDBF93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  <w:r w:rsidR="006F2D0B">
              <w:rPr>
                <w:lang w:eastAsia="ar-SA"/>
              </w:rPr>
              <w:t>С.А. Барабанщиков</w:t>
            </w:r>
            <w:bookmarkStart w:id="0" w:name="_GoBack"/>
            <w:bookmarkEnd w:id="0"/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0E"/>
    <w:rsid w:val="00001184"/>
    <w:rsid w:val="000252A6"/>
    <w:rsid w:val="000503F3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26966"/>
    <w:rsid w:val="00130AA1"/>
    <w:rsid w:val="00131D47"/>
    <w:rsid w:val="00141E08"/>
    <w:rsid w:val="00143DEE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16D01"/>
    <w:rsid w:val="00220D9C"/>
    <w:rsid w:val="00232BA0"/>
    <w:rsid w:val="00240948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6F2D0B"/>
    <w:rsid w:val="00701563"/>
    <w:rsid w:val="0072030C"/>
    <w:rsid w:val="00731165"/>
    <w:rsid w:val="0073438E"/>
    <w:rsid w:val="00747FE7"/>
    <w:rsid w:val="00753089"/>
    <w:rsid w:val="00764B5A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04CA"/>
    <w:rsid w:val="009F5EEC"/>
    <w:rsid w:val="00A235C0"/>
    <w:rsid w:val="00A251E7"/>
    <w:rsid w:val="00A713F8"/>
    <w:rsid w:val="00A85733"/>
    <w:rsid w:val="00A872FB"/>
    <w:rsid w:val="00AC2F79"/>
    <w:rsid w:val="00AD0BBA"/>
    <w:rsid w:val="00B07222"/>
    <w:rsid w:val="00B270F1"/>
    <w:rsid w:val="00B27F7F"/>
    <w:rsid w:val="00B30988"/>
    <w:rsid w:val="00B324FC"/>
    <w:rsid w:val="00B51D92"/>
    <w:rsid w:val="00B53433"/>
    <w:rsid w:val="00B71170"/>
    <w:rsid w:val="00B87616"/>
    <w:rsid w:val="00B922A8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B6EB9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E8DF-63A2-4175-A573-0518287D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Шадрина Анна Владимировна</cp:lastModifiedBy>
  <cp:revision>22</cp:revision>
  <cp:lastPrinted>2019-02-01T08:56:00Z</cp:lastPrinted>
  <dcterms:created xsi:type="dcterms:W3CDTF">2019-01-31T15:32:00Z</dcterms:created>
  <dcterms:modified xsi:type="dcterms:W3CDTF">2020-08-27T10:00:00Z</dcterms:modified>
</cp:coreProperties>
</file>