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0D5F62" w:rsidRPr="000D5F62">
        <w:rPr>
          <w:b/>
        </w:rPr>
        <w:t>Акционерное общество «Ленинградская областная электросетевая компания» (АО «ЛОЭСК»)</w:t>
      </w:r>
      <w:r w:rsidR="000D5F62" w:rsidRPr="000D5F62">
        <w:t>,</w:t>
      </w:r>
      <w:r w:rsidR="000D5F62" w:rsidRPr="00BD4F04">
        <w:rPr>
          <w:sz w:val="20"/>
          <w:szCs w:val="20"/>
        </w:rPr>
        <w:t xml:space="preserve"> </w:t>
      </w:r>
      <w:r w:rsidRPr="00117D29">
        <w:t xml:space="preserve">в лице </w:t>
      </w:r>
      <w:r w:rsidR="00DD3212" w:rsidRPr="00117D29">
        <w:t>Заместителя генерального директора по капитальному строительству Фистюлевой Алии Тахировны</w:t>
      </w:r>
      <w:r w:rsidRPr="00117D29">
        <w:t xml:space="preserve">, действующего на основании </w:t>
      </w:r>
      <w:r w:rsidR="00DD3212" w:rsidRPr="00117D29">
        <w:t>доверенности № ____ от ______</w:t>
      </w:r>
      <w:r w:rsidRPr="00117D29">
        <w:t xml:space="preserve">, с одной стороны, и </w:t>
      </w:r>
      <w:r w:rsidRPr="00C879E0">
        <w:rPr>
          <w:b/>
        </w:rPr>
        <w:t>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744845" w:rsidRPr="00744845">
        <w:t>являющ</w:t>
      </w:r>
      <w:r w:rsidR="00CB0ECD">
        <w:t>ее</w:t>
      </w:r>
      <w:r w:rsidR="00744845" w:rsidRPr="00744845">
        <w:t>ся членом саморегулируемой организации _________</w:t>
      </w:r>
      <w:r w:rsidR="00E15250" w:rsidRPr="007124FD">
        <w:t>,</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 xml:space="preserve">в соответствии с настоящим Договором, указываются в Техническом </w:t>
      </w:r>
      <w:r w:rsidR="005A48A6" w:rsidRPr="00117D29">
        <w:t>задании</w:t>
      </w:r>
      <w:r w:rsidR="005A48A6">
        <w:t>,</w:t>
      </w:r>
      <w:r w:rsidR="005A48A6" w:rsidRPr="00117D29">
        <w:t xml:space="preserve"> разработанной</w:t>
      </w:r>
      <w:r w:rsidRPr="00117D29">
        <w:t xml:space="preserve">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 xml:space="preserve">Результат работ должен соответствовать требованиям действующего законодательства РФ, </w:t>
      </w:r>
      <w:r w:rsidR="00CA03C8" w:rsidRPr="00CA03C8">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t>, иным нормативам, нормам, положениям, инструкциям, правилам, указаниям,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Default="008A323D" w:rsidP="008A323D">
      <w:pPr>
        <w:pStyle w:val="a4"/>
        <w:ind w:left="705"/>
        <w:jc w:val="both"/>
        <w:outlineLvl w:val="4"/>
      </w:pPr>
    </w:p>
    <w:p w:rsidR="003044A8" w:rsidRPr="008A323D" w:rsidRDefault="008A5697" w:rsidP="008A323D">
      <w:pPr>
        <w:pStyle w:val="a4"/>
        <w:numPr>
          <w:ilvl w:val="0"/>
          <w:numId w:val="13"/>
        </w:numPr>
        <w:spacing w:before="120" w:line="276" w:lineRule="auto"/>
        <w:jc w:val="center"/>
        <w:outlineLvl w:val="0"/>
        <w:rPr>
          <w:b/>
        </w:rPr>
      </w:pPr>
      <w:r>
        <w:rPr>
          <w:b/>
        </w:rPr>
        <w:t>ЦЕНА ДОГОВОРА</w:t>
      </w:r>
    </w:p>
    <w:p w:rsidR="009A6257" w:rsidRPr="008A323D" w:rsidRDefault="003044A8" w:rsidP="008A5697">
      <w:pPr>
        <w:pStyle w:val="a4"/>
        <w:numPr>
          <w:ilvl w:val="1"/>
          <w:numId w:val="13"/>
        </w:numPr>
        <w:ind w:left="0" w:firstLine="567"/>
        <w:jc w:val="both"/>
        <w:outlineLvl w:val="0"/>
        <w:rPr>
          <w:b/>
        </w:rPr>
      </w:pPr>
      <w:r w:rsidRPr="00117D29">
        <w:t xml:space="preserve"> </w:t>
      </w:r>
      <w:r w:rsidR="008A5697">
        <w:t>Цена</w:t>
      </w:r>
      <w:r w:rsidR="008A323D" w:rsidRPr="008A323D">
        <w:t xml:space="preserve"> </w:t>
      </w:r>
      <w:r w:rsidR="008A5697" w:rsidRPr="008A5697">
        <w:t>настоящего Договора является предельной ориентировочной, определяе</w:t>
      </w:r>
      <w:r w:rsidR="008A5697">
        <w:t xml:space="preserve">тся на основании объемов работ, указанных в </w:t>
      </w:r>
      <w:r w:rsidR="008A5697" w:rsidRPr="008A5697">
        <w:t xml:space="preserve">Техническом задании (Приложение № </w:t>
      </w:r>
      <w:r w:rsidR="008A5697">
        <w:t>1</w:t>
      </w:r>
      <w:r w:rsidR="008A5697" w:rsidRPr="008A5697">
        <w:t xml:space="preserve"> к настоящему </w:t>
      </w:r>
      <w:r w:rsidR="008A5697" w:rsidRPr="008A5697">
        <w:lastRenderedPageBreak/>
        <w:t>Договору), исходя из укрупненных расценок стоимости работ, указывается в Решении о результатах закупки и составляет</w:t>
      </w:r>
      <w:r w:rsidR="00F94DB5">
        <w:t>:</w:t>
      </w:r>
      <w:r w:rsidR="008A5697" w:rsidRPr="008A5697">
        <w:t xml:space="preserve"> </w:t>
      </w:r>
      <w:r w:rsidR="008A5697" w:rsidRPr="00C879E0">
        <w:rPr>
          <w:b/>
        </w:rPr>
        <w:t>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 xml:space="preserve">и не может превышать предельной </w:t>
      </w:r>
      <w:r w:rsidR="008A5697">
        <w:t>цены Договора</w:t>
      </w:r>
      <w:r w:rsidR="00746C9D" w:rsidRPr="00746C9D">
        <w:t xml:space="preserve">. В случае превышения Подрядчиком предельной </w:t>
      </w:r>
      <w:r w:rsidR="008A5697">
        <w:t>цены</w:t>
      </w:r>
      <w:r w:rsidR="00746C9D" w:rsidRPr="00746C9D">
        <w:t xml:space="preserve"> </w:t>
      </w:r>
      <w:r w:rsidR="008A5697" w:rsidRPr="00746C9D">
        <w:t>Договор</w:t>
      </w:r>
      <w:r w:rsidR="008A5697">
        <w:t>а</w:t>
      </w:r>
      <w:r w:rsidR="00746C9D" w:rsidRPr="00746C9D">
        <w:t>,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 xml:space="preserve">В </w:t>
      </w:r>
      <w:r w:rsidR="00CB5994">
        <w:t xml:space="preserve">цену Договора, </w:t>
      </w:r>
      <w:r w:rsidR="00CB5994" w:rsidRPr="00CB5994">
        <w:t>указанную в п. 2.1 настоящего Договора</w:t>
      </w:r>
      <w:r w:rsidR="00CB5994">
        <w:t>,</w:t>
      </w:r>
      <w:r w:rsidRPr="008A323D">
        <w:t xml:space="preserve">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lastRenderedPageBreak/>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w:t>
      </w:r>
      <w:r w:rsidR="00CA03C8" w:rsidRPr="00CA03C8">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DF3ED7" w:rsidRPr="00DF3ED7">
        <w:t>,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DF3ED7">
        <w:t>ст.</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 xml:space="preserve">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w:t>
      </w:r>
      <w:r w:rsidRPr="00117D29">
        <w:rPr>
          <w:noProof/>
        </w:rPr>
        <w:lastRenderedPageBreak/>
        <w:t>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t xml:space="preserve">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w:t>
      </w:r>
      <w:r>
        <w:rPr>
          <w:noProof/>
        </w:rPr>
        <w:lastRenderedPageBreak/>
        <w:t>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9250DF" w:rsidRDefault="009250DF" w:rsidP="009250DF">
      <w:pPr>
        <w:pStyle w:val="a4"/>
        <w:numPr>
          <w:ilvl w:val="1"/>
          <w:numId w:val="13"/>
        </w:numPr>
        <w:ind w:left="0" w:firstLine="709"/>
        <w:jc w:val="both"/>
        <w:rPr>
          <w:noProof/>
        </w:rPr>
      </w:pPr>
      <w:r>
        <w:rPr>
          <w:noProof/>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9250DF" w:rsidRDefault="009250DF" w:rsidP="009250DF">
      <w:pPr>
        <w:pStyle w:val="a4"/>
        <w:ind w:firstLine="709"/>
        <w:jc w:val="both"/>
        <w:rPr>
          <w:noProof/>
        </w:rPr>
      </w:pPr>
      <w:r>
        <w:rPr>
          <w:noProof/>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9250DF" w:rsidRDefault="009250DF" w:rsidP="009250DF">
      <w:pPr>
        <w:pStyle w:val="a4"/>
        <w:ind w:firstLine="709"/>
        <w:jc w:val="both"/>
        <w:rPr>
          <w:noProof/>
        </w:rPr>
      </w:pPr>
      <w:r>
        <w:rPr>
          <w:noProof/>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4957B5" w:rsidRDefault="004957B5" w:rsidP="004957B5">
      <w:pPr>
        <w:pStyle w:val="a4"/>
        <w:numPr>
          <w:ilvl w:val="1"/>
          <w:numId w:val="13"/>
        </w:numPr>
        <w:ind w:left="0" w:firstLine="709"/>
        <w:jc w:val="both"/>
        <w:rPr>
          <w:noProof/>
        </w:rPr>
      </w:pPr>
      <w:r>
        <w:rPr>
          <w:noProof/>
        </w:rP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4957B5" w:rsidRDefault="004957B5" w:rsidP="004957B5">
      <w:pPr>
        <w:pStyle w:val="a4"/>
        <w:ind w:firstLine="709"/>
        <w:jc w:val="both"/>
        <w:rPr>
          <w:noProof/>
        </w:rPr>
      </w:pPr>
      <w:r>
        <w:rPr>
          <w:noProof/>
        </w:rP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4957B5" w:rsidRDefault="004957B5" w:rsidP="004957B5">
      <w:pPr>
        <w:pStyle w:val="a4"/>
        <w:ind w:firstLine="709"/>
        <w:jc w:val="both"/>
        <w:rPr>
          <w:noProof/>
        </w:rPr>
      </w:pPr>
      <w:r>
        <w:rPr>
          <w:noProof/>
        </w:rP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4957B5" w:rsidRDefault="004957B5" w:rsidP="004957B5">
      <w:pPr>
        <w:pStyle w:val="a4"/>
        <w:ind w:firstLine="709"/>
        <w:jc w:val="both"/>
        <w:rPr>
          <w:noProof/>
        </w:rPr>
      </w:pPr>
      <w:r>
        <w:rPr>
          <w:noProof/>
        </w:rPr>
        <w:t xml:space="preserve">При наличии одного из указанных выше обстоятельств Подрядчик обязан при изменении </w:t>
      </w:r>
      <w:r>
        <w:rPr>
          <w:noProof/>
        </w:rPr>
        <w:lastRenderedPageBreak/>
        <w:t>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3 к настоящему Договору.</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(директор филиала АО «ЛОЭСК» «_________ электросети»</w:t>
      </w:r>
      <w:r w:rsidR="00CA03C8">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lastRenderedPageBreak/>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 xml:space="preserve">Заказчик в течение 5 (пяти) рабочих дней со дня получения документов, указанных в </w:t>
      </w:r>
      <w:r w:rsidR="00CB0ECD">
        <w:br/>
      </w:r>
      <w:r w:rsidRPr="00117D29">
        <w:t>п. 6.</w:t>
      </w:r>
      <w:r w:rsidR="00A52BB0" w:rsidRPr="00117D29">
        <w:t>4</w:t>
      </w:r>
      <w:r w:rsidRPr="00117D29">
        <w:t>.</w:t>
      </w:r>
      <w:r w:rsidR="009B2632">
        <w:t>2</w:t>
      </w:r>
      <w:r w:rsidR="009B2632" w:rsidRPr="00117D29">
        <w:t xml:space="preserve"> </w:t>
      </w:r>
      <w:r w:rsidRPr="00117D29">
        <w:t xml:space="preserve">настоящего Договора, обязан подписать их и возвратить </w:t>
      </w:r>
      <w:r w:rsidR="00CB0ECD">
        <w:t>Подрядчику по одному экземпляру</w:t>
      </w:r>
      <w:r w:rsidRPr="00117D29">
        <w:t xml:space="preserve"> или направить мотивированный отказ с указанием перечня недостатков и сроков их устранения</w:t>
      </w:r>
      <w:r w:rsidR="00744845">
        <w:t>,</w:t>
      </w:r>
      <w:r w:rsidR="00744845" w:rsidRPr="00744845">
        <w:rPr>
          <w:bCs w:val="0"/>
          <w:iCs w:val="0"/>
          <w:szCs w:val="24"/>
        </w:rPr>
        <w:t xml:space="preserve"> </w:t>
      </w:r>
      <w:r w:rsidR="00744845" w:rsidRPr="00744845">
        <w:t xml:space="preserve">в том числе в связи с не полным и/или не верным оформлением Подрядчиком актов о приемке выполненных </w:t>
      </w:r>
      <w:r w:rsidR="00744845" w:rsidRPr="00744845">
        <w:lastRenderedPageBreak/>
        <w:t>работ (форма КС-2) и справок о стоимости выполнен</w:t>
      </w:r>
      <w:r w:rsidR="00744845">
        <w:t>ных работ и затрат (форма КС-3)</w:t>
      </w:r>
      <w:r w:rsidRPr="00117D29">
        <w:t xml:space="preserve">.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815E1F">
        <w:t xml:space="preserve">цены </w:t>
      </w:r>
      <w:r>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744845" w:rsidRPr="00117D29" w:rsidRDefault="00744845" w:rsidP="00A459C7">
      <w:pPr>
        <w:pStyle w:val="a4"/>
        <w:ind w:firstLine="709"/>
        <w:jc w:val="both"/>
      </w:pPr>
      <w:r>
        <w:t xml:space="preserve">6.4.5. </w:t>
      </w:r>
      <w:r w:rsidRPr="0074484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xml:space="preserve">-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w:t>
      </w:r>
      <w:r>
        <w:lastRenderedPageBreak/>
        <w:t>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 xml:space="preserve">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w:t>
      </w:r>
      <w:r w:rsidR="002F75A1" w:rsidRPr="002F75A1">
        <w:lastRenderedPageBreak/>
        <w:t>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r w:rsidR="00CA03C8">
        <w:rPr>
          <w:rStyle w:val="af5"/>
          <w:b/>
        </w:rPr>
        <w:footnoteReference w:id="2"/>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w:t>
      </w:r>
      <w:r w:rsidR="00CA03C8">
        <w:t>рабоч</w:t>
      </w:r>
      <w:r w:rsidR="00CA03C8" w:rsidRPr="00117D29">
        <w:t xml:space="preserve">их </w:t>
      </w:r>
      <w:r w:rsidRPr="00117D29">
        <w:t xml:space="preserve">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строительно-монтажные работы по Этапу 2 в течение 45 (сорока пяти) </w:t>
      </w:r>
      <w:r w:rsidR="00CA03C8">
        <w:t>рабоч</w:t>
      </w:r>
      <w:r w:rsidR="00CA03C8" w:rsidRPr="00117D29">
        <w:t xml:space="preserve">их </w:t>
      </w:r>
      <w:r w:rsidRPr="00117D29">
        <w:t>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5A48A6" w:rsidRPr="00117D29">
        <w:t>)</w:t>
      </w:r>
      <w:r w:rsidR="005A48A6">
        <w:t xml:space="preserve">, </w:t>
      </w:r>
      <w:r w:rsidR="005A48A6" w:rsidRPr="00117D29">
        <w:t>справки</w:t>
      </w:r>
      <w:r w:rsidRPr="00117D29">
        <w:t xml:space="preserve">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 xml:space="preserve">в течение 45 (сорока пяти) </w:t>
      </w:r>
      <w:r w:rsidR="00CA03C8">
        <w:t>рабоч</w:t>
      </w:r>
      <w:r w:rsidR="00CA03C8" w:rsidRPr="00117D29">
        <w:t xml:space="preserve">их </w:t>
      </w:r>
      <w:r w:rsidRPr="00117D29">
        <w:t>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 xml:space="preserve">Оплата по настоящему Договору производится Заказчиком путем перечисления денежных </w:t>
      </w:r>
      <w:r w:rsidRPr="00117D29">
        <w:lastRenderedPageBreak/>
        <w:t>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pPr>
        <w:pStyle w:val="a4"/>
        <w:ind w:left="709"/>
        <w:jc w:val="both"/>
      </w:pPr>
    </w:p>
    <w:p w:rsidR="003044A8" w:rsidRPr="00117D29" w:rsidRDefault="003044A8" w:rsidP="008A569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190D44" w:rsidRPr="00190D44" w:rsidRDefault="00190D44" w:rsidP="00C879E0">
      <w:pPr>
        <w:pStyle w:val="a4"/>
        <w:numPr>
          <w:ilvl w:val="2"/>
          <w:numId w:val="32"/>
        </w:numPr>
        <w:ind w:left="0" w:firstLine="709"/>
        <w:jc w:val="both"/>
      </w:pPr>
      <w:r w:rsidRPr="00190D44">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 xml:space="preserve">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w:t>
      </w:r>
      <w:r w:rsidRPr="00117D29">
        <w:lastRenderedPageBreak/>
        <w:t>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00EE129C">
        <w:t>цены Договора</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w:t>
      </w:r>
      <w:r w:rsidR="00682473" w:rsidRPr="008F337F">
        <w:t>1</w:t>
      </w:r>
      <w:r w:rsidR="00682473">
        <w:t>3</w:t>
      </w:r>
      <w:r w:rsidR="00682473" w:rsidRPr="008F337F">
        <w:t xml:space="preserve"> </w:t>
      </w:r>
      <w:r w:rsidRPr="008F337F">
        <w:t>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w:t>
      </w:r>
      <w:r w:rsidRPr="00117D29">
        <w:lastRenderedPageBreak/>
        <w:t>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неустраненных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006E14C0">
        <w:t>цены Договора</w:t>
      </w:r>
      <w:r w:rsidR="009F3EE8">
        <w:t xml:space="preserve">, указанной в п.2.1 настоящего </w:t>
      </w:r>
      <w:r w:rsidR="005A48A6">
        <w:t xml:space="preserve">Договора, </w:t>
      </w:r>
      <w:r w:rsidR="005A48A6" w:rsidRPr="00117D29">
        <w:t>за</w:t>
      </w:r>
      <w:r w:rsidRPr="00117D29">
        <w:t xml:space="preserve">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A51D93" w:rsidRDefault="007248E3" w:rsidP="00A51D93">
      <w:pPr>
        <w:pStyle w:val="a4"/>
        <w:numPr>
          <w:ilvl w:val="1"/>
          <w:numId w:val="32"/>
        </w:numPr>
        <w:tabs>
          <w:tab w:val="left" w:pos="709"/>
        </w:tabs>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w:t>
      </w:r>
      <w:r w:rsidR="00E05037">
        <w:rPr>
          <w:noProof/>
        </w:rPr>
        <w:t>цены</w:t>
      </w:r>
      <w:r w:rsidR="009F3EE8">
        <w:rPr>
          <w:noProof/>
        </w:rPr>
        <w:t xml:space="preserve"> </w:t>
      </w:r>
      <w:r w:rsidR="00E05037">
        <w:rPr>
          <w:noProof/>
        </w:rPr>
        <w:t>Договора</w:t>
      </w:r>
      <w:r w:rsidR="008710A8">
        <w:rPr>
          <w:noProof/>
        </w:rPr>
        <w:t>, указанной в п.2.1 настоящего Договора</w:t>
      </w:r>
      <w:r>
        <w:rPr>
          <w:noProof/>
        </w:rPr>
        <w:t>.</w:t>
      </w:r>
      <w:r w:rsidR="00682473">
        <w:rPr>
          <w:noProof/>
        </w:rPr>
        <w:t xml:space="preserve">. </w:t>
      </w:r>
    </w:p>
    <w:p w:rsidR="00682473" w:rsidRDefault="00682473" w:rsidP="00A51D93">
      <w:pPr>
        <w:pStyle w:val="a4"/>
        <w:numPr>
          <w:ilvl w:val="1"/>
          <w:numId w:val="32"/>
        </w:numPr>
        <w:tabs>
          <w:tab w:val="left" w:pos="709"/>
        </w:tabs>
        <w:ind w:left="0" w:firstLine="709"/>
        <w:jc w:val="both"/>
        <w:rPr>
          <w:noProof/>
        </w:rPr>
      </w:pPr>
      <w:r w:rsidRPr="00682473">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5A48A6">
        <w:rPr>
          <w:noProof/>
        </w:rPr>
        <w:t xml:space="preserve">10 % от </w:t>
      </w:r>
      <w:r w:rsidR="005A48A6" w:rsidRPr="004957B5">
        <w:rPr>
          <w:noProof/>
        </w:rPr>
        <w:t>от предельной цены Договора, указанной в п.2.1 настоящего Договора.</w:t>
      </w:r>
    </w:p>
    <w:p w:rsidR="004957B5" w:rsidRPr="00682473" w:rsidRDefault="004957B5" w:rsidP="004957B5">
      <w:pPr>
        <w:pStyle w:val="a4"/>
        <w:numPr>
          <w:ilvl w:val="1"/>
          <w:numId w:val="32"/>
        </w:numPr>
        <w:tabs>
          <w:tab w:val="left" w:pos="709"/>
        </w:tabs>
        <w:ind w:left="0" w:firstLine="709"/>
        <w:jc w:val="both"/>
        <w:rPr>
          <w:noProof/>
        </w:rPr>
      </w:pPr>
      <w:r w:rsidRPr="004957B5">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Pr>
          <w:noProof/>
        </w:rPr>
        <w:t>9</w:t>
      </w:r>
      <w:r w:rsidRPr="004957B5">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rsidR="00682473" w:rsidRPr="000248A8" w:rsidRDefault="00682473" w:rsidP="00A51D93">
      <w:pPr>
        <w:pStyle w:val="a4"/>
        <w:ind w:left="709"/>
        <w:jc w:val="both"/>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lastRenderedPageBreak/>
        <w:t>получения уведомления работ</w:t>
      </w:r>
      <w:r>
        <w:t xml:space="preserve"> и всё иное, связанное с выполнением работ</w:t>
      </w:r>
      <w:r w:rsidRPr="002824A4">
        <w:t xml:space="preserve">. </w:t>
      </w:r>
      <w:r w:rsidR="00B366B5" w:rsidRPr="00B366B5">
        <w:t xml:space="preserve">При таком расторжении Договора Заказчик осуществляет оплату стоимости работ, фактически выполненных </w:t>
      </w:r>
      <w:r w:rsidR="005A48A6" w:rsidRPr="00B366B5">
        <w:t>Подрядчиком на</w:t>
      </w:r>
      <w:r w:rsidR="00B366B5" w:rsidRPr="00B366B5">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A51D93">
        <w:t>.</w:t>
      </w:r>
    </w:p>
    <w:p w:rsidR="00A51D93" w:rsidRDefault="00A51D93" w:rsidP="000E1861">
      <w:pPr>
        <w:pStyle w:val="a4"/>
        <w:numPr>
          <w:ilvl w:val="1"/>
          <w:numId w:val="32"/>
        </w:numPr>
        <w:ind w:left="0" w:firstLine="709"/>
        <w:jc w:val="both"/>
      </w:pPr>
      <w:r w:rsidRPr="00A51D93">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AE7F9E" w:rsidRDefault="00AE7F9E" w:rsidP="00C879E0">
      <w:pPr>
        <w:pStyle w:val="a4"/>
        <w:ind w:left="709"/>
        <w:jc w:val="both"/>
      </w:pPr>
    </w:p>
    <w:p w:rsidR="00CA03C8" w:rsidRPr="00952534" w:rsidRDefault="00CA03C8" w:rsidP="00A51D93">
      <w:pPr>
        <w:pStyle w:val="a4"/>
        <w:numPr>
          <w:ilvl w:val="0"/>
          <w:numId w:val="32"/>
        </w:numPr>
        <w:jc w:val="center"/>
        <w:rPr>
          <w:b/>
        </w:rPr>
      </w:pPr>
      <w:r w:rsidRPr="00952534">
        <w:rPr>
          <w:b/>
        </w:rPr>
        <w:t>АНТИКОРРУПЦИОННАЯ ОГОВОРКА</w:t>
      </w:r>
    </w:p>
    <w:p w:rsidR="00CA03C8" w:rsidRPr="00952534" w:rsidRDefault="00CA03C8" w:rsidP="00A51D93">
      <w:pPr>
        <w:pStyle w:val="a4"/>
        <w:numPr>
          <w:ilvl w:val="1"/>
          <w:numId w:val="32"/>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A03C8" w:rsidRPr="00952534" w:rsidRDefault="00CA03C8" w:rsidP="00CA03C8">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A03C8" w:rsidRPr="00952534" w:rsidRDefault="00CA03C8" w:rsidP="00A51D93">
      <w:pPr>
        <w:pStyle w:val="a4"/>
        <w:numPr>
          <w:ilvl w:val="1"/>
          <w:numId w:val="32"/>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A03C8" w:rsidRPr="00952534" w:rsidRDefault="00CA03C8" w:rsidP="00CA03C8">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A03C8" w:rsidRPr="00952534" w:rsidRDefault="00CA03C8" w:rsidP="00A51D93">
      <w:pPr>
        <w:pStyle w:val="a4"/>
        <w:numPr>
          <w:ilvl w:val="1"/>
          <w:numId w:val="32"/>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A03C8" w:rsidRPr="00952534" w:rsidRDefault="00CA03C8" w:rsidP="00A51D93">
      <w:pPr>
        <w:pStyle w:val="a4"/>
        <w:numPr>
          <w:ilvl w:val="1"/>
          <w:numId w:val="32"/>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682473" w:rsidRPr="00682473">
        <w:t>включая уступку Подрядчиком финансовому агенту по договору факторинга денежного требования Подрядчика к Заказчику по настоящему Договору</w:t>
      </w:r>
      <w:r w:rsidR="00682473">
        <w:t xml:space="preserve">,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lastRenderedPageBreak/>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 xml:space="preserve">В случае изменения условий раздела </w:t>
      </w:r>
      <w:r w:rsidR="00682473" w:rsidRPr="00117D29">
        <w:t>1</w:t>
      </w:r>
      <w:r w:rsidR="00682473">
        <w:t>5</w:t>
      </w:r>
      <w:r w:rsidR="00682473" w:rsidRPr="00117D29">
        <w:t xml:space="preserve"> </w:t>
      </w:r>
      <w:r w:rsidRPr="00117D29">
        <w:t>настоящего Договора, Стороны обязаны в течение 5 (пяти) рабочих дней уведомить друг друга о таких изменениях.</w:t>
      </w:r>
    </w:p>
    <w:p w:rsidR="00A51D93" w:rsidRDefault="00106598" w:rsidP="00106598">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A51D93">
      <w:pPr>
        <w:pStyle w:val="a4"/>
        <w:ind w:left="709"/>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106598" w:rsidRPr="00117D29" w:rsidRDefault="00106598" w:rsidP="00106598">
      <w:pPr>
        <w:jc w:val="both"/>
        <w:outlineLvl w:val="0"/>
        <w:rPr>
          <w:b/>
        </w:rPr>
      </w:pPr>
      <w:r w:rsidRPr="00117D29">
        <w:rPr>
          <w:b/>
        </w:rPr>
        <w:t xml:space="preserve">Заказчик: </w:t>
      </w:r>
      <w:bookmarkStart w:id="0" w:name="_GoBack"/>
      <w:r w:rsidR="000D5F62" w:rsidRPr="000D5F62">
        <w:rPr>
          <w:b/>
        </w:rPr>
        <w:t>Акционерное общество «Ленинградская областная электросетевая компания» (АО «ЛОЭСК»)</w:t>
      </w:r>
      <w:bookmarkEnd w:id="0"/>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 xml:space="preserve">КПП </w:t>
      </w:r>
      <w:r w:rsidR="008E048A" w:rsidRPr="00117D29">
        <w:t>4706</w:t>
      </w:r>
      <w:r w:rsidR="008E048A">
        <w:t>01</w:t>
      </w:r>
      <w:r w:rsidR="008E048A" w:rsidRPr="00117D29">
        <w:t>001</w:t>
      </w:r>
    </w:p>
    <w:p w:rsidR="00106598" w:rsidRPr="00117D29" w:rsidRDefault="00106598" w:rsidP="00106598">
      <w:pPr>
        <w:outlineLvl w:val="0"/>
      </w:pPr>
      <w:r w:rsidRPr="00117D29">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e-mail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e-mail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4957B5" w:rsidRDefault="004957B5" w:rsidP="003044A8">
      <w:pPr>
        <w:numPr>
          <w:ilvl w:val="0"/>
          <w:numId w:val="6"/>
        </w:numPr>
        <w:ind w:left="0" w:firstLine="0"/>
        <w:jc w:val="both"/>
      </w:pPr>
      <w:r>
        <w:t>Форма извещения об изменениях;</w:t>
      </w:r>
    </w:p>
    <w:p w:rsidR="008A6610" w:rsidRDefault="008A6610" w:rsidP="008A6610">
      <w:pPr>
        <w:numPr>
          <w:ilvl w:val="0"/>
          <w:numId w:val="6"/>
        </w:numPr>
        <w:jc w:val="both"/>
      </w:pPr>
      <w:r w:rsidRPr="008A6610">
        <w:lastRenderedPageBreak/>
        <w:t xml:space="preserve">Копия выписки из реестра членов СРО </w:t>
      </w:r>
      <w:r w:rsidRPr="008A6610">
        <w:rPr>
          <w:i/>
        </w:rPr>
        <w:t>(прикладывается при заключении договора на основании аналитической записки</w:t>
      </w:r>
      <w:r w:rsidR="00CB0ECD">
        <w:rPr>
          <w:rFonts w:eastAsia="Calibri"/>
          <w:i/>
          <w:lang w:eastAsia="en-US"/>
        </w:rPr>
        <w:t>/решения о закупке единственного поставщика</w:t>
      </w:r>
      <w:r w:rsidRPr="008A6610">
        <w:rPr>
          <w:i/>
        </w:rPr>
        <w:t>)</w:t>
      </w:r>
      <w:r w:rsidRPr="008A6610">
        <w:t>.</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lastRenderedPageBreak/>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«Энергоконтроль (лицо, действующие от имени и по поручению АО «ЛОЭСК» по агентскому договору)</w:t>
      </w:r>
      <w:r w:rsidRPr="00117D29">
        <w:t xml:space="preserve">, согласовать проект с ООО «Энергоконтроль».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117D29">
        <w:rPr>
          <w:b/>
          <w:lang w:val="en-US"/>
        </w:rPr>
        <w:t>AutoCad</w:t>
      </w:r>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8"/>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4957B5" w:rsidRDefault="004957B5">
      <w:pPr>
        <w:sectPr w:rsidR="004957B5" w:rsidSect="00FF733C">
          <w:footerReference w:type="even" r:id="rId9"/>
          <w:footerReference w:type="default" r:id="rId10"/>
          <w:pgSz w:w="16838" w:h="11906" w:orient="landscape"/>
          <w:pgMar w:top="720" w:right="720" w:bottom="720" w:left="720" w:header="709" w:footer="709" w:gutter="0"/>
          <w:cols w:space="708"/>
          <w:docGrid w:linePitch="360"/>
        </w:sectPr>
      </w:pPr>
    </w:p>
    <w:p w:rsidR="004957B5" w:rsidRPr="00263E3E" w:rsidRDefault="004957B5" w:rsidP="004957B5">
      <w:pPr>
        <w:ind w:right="-1"/>
        <w:jc w:val="right"/>
        <w:rPr>
          <w:color w:val="000000"/>
        </w:rPr>
      </w:pPr>
      <w:r w:rsidRPr="00263E3E">
        <w:rPr>
          <w:color w:val="000000"/>
        </w:rPr>
        <w:lastRenderedPageBreak/>
        <w:t xml:space="preserve">Приложение № </w:t>
      </w:r>
      <w:r>
        <w:rPr>
          <w:color w:val="000000"/>
        </w:rPr>
        <w:t>3</w:t>
      </w:r>
    </w:p>
    <w:p w:rsidR="004957B5" w:rsidRPr="00263E3E" w:rsidRDefault="004957B5" w:rsidP="004957B5">
      <w:pPr>
        <w:ind w:right="-1"/>
        <w:jc w:val="right"/>
        <w:rPr>
          <w:color w:val="000000"/>
        </w:rPr>
      </w:pPr>
      <w:r w:rsidRPr="00263E3E">
        <w:rPr>
          <w:color w:val="000000"/>
        </w:rPr>
        <w:t>к договору подряда</w:t>
      </w:r>
    </w:p>
    <w:p w:rsidR="004957B5" w:rsidRPr="00263E3E" w:rsidRDefault="004957B5" w:rsidP="004957B5">
      <w:pPr>
        <w:ind w:right="-1"/>
        <w:jc w:val="right"/>
        <w:rPr>
          <w:color w:val="000000"/>
        </w:rPr>
      </w:pPr>
      <w:r w:rsidRPr="00263E3E">
        <w:rPr>
          <w:color w:val="000000"/>
        </w:rPr>
        <w:t>№ ____________ от «____» _________ 20___г.</w:t>
      </w:r>
    </w:p>
    <w:p w:rsidR="004957B5" w:rsidRPr="00263E3E" w:rsidRDefault="004957B5" w:rsidP="004957B5">
      <w:pPr>
        <w:ind w:right="-1"/>
        <w:jc w:val="right"/>
        <w:rPr>
          <w:color w:val="000000"/>
        </w:rPr>
      </w:pPr>
      <w:r w:rsidRPr="00263E3E">
        <w:rPr>
          <w:color w:val="000000"/>
        </w:rPr>
        <w:t>ФОРМА</w:t>
      </w:r>
    </w:p>
    <w:p w:rsidR="004957B5" w:rsidRPr="00263E3E" w:rsidRDefault="004957B5" w:rsidP="004957B5">
      <w:pPr>
        <w:ind w:right="-1"/>
        <w:rPr>
          <w:color w:val="000000"/>
        </w:rPr>
      </w:pPr>
      <w:r w:rsidRPr="00263E3E">
        <w:rPr>
          <w:color w:val="000000"/>
        </w:rPr>
        <w:t>Исх. № ______</w:t>
      </w:r>
    </w:p>
    <w:p w:rsidR="004957B5" w:rsidRPr="00263E3E" w:rsidRDefault="004957B5" w:rsidP="004957B5">
      <w:pPr>
        <w:ind w:right="-1"/>
        <w:rPr>
          <w:color w:val="000000"/>
        </w:rPr>
      </w:pPr>
      <w:r w:rsidRPr="00263E3E">
        <w:rPr>
          <w:color w:val="000000"/>
        </w:rPr>
        <w:t xml:space="preserve">Дата </w:t>
      </w:r>
    </w:p>
    <w:p w:rsidR="004957B5" w:rsidRPr="00263E3E" w:rsidRDefault="004957B5" w:rsidP="004957B5">
      <w:pPr>
        <w:ind w:right="-1"/>
        <w:rPr>
          <w:color w:val="000000"/>
        </w:rPr>
      </w:pPr>
    </w:p>
    <w:p w:rsidR="004957B5" w:rsidRPr="00263E3E" w:rsidRDefault="004957B5" w:rsidP="004957B5">
      <w:pPr>
        <w:ind w:right="-1"/>
        <w:jc w:val="center"/>
        <w:rPr>
          <w:b/>
          <w:color w:val="000000"/>
        </w:rPr>
      </w:pPr>
      <w:r w:rsidRPr="00263E3E">
        <w:rPr>
          <w:b/>
          <w:color w:val="000000"/>
        </w:rPr>
        <w:t>Извещение об изменениях</w:t>
      </w:r>
    </w:p>
    <w:p w:rsidR="004957B5" w:rsidRPr="00263E3E" w:rsidRDefault="004957B5" w:rsidP="004957B5">
      <w:pPr>
        <w:ind w:right="-1"/>
        <w:jc w:val="center"/>
        <w:rPr>
          <w:color w:val="000000"/>
        </w:rPr>
      </w:pPr>
    </w:p>
    <w:p w:rsidR="004957B5" w:rsidRPr="00263E3E" w:rsidRDefault="004957B5" w:rsidP="004957B5">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4957B5" w:rsidRPr="00263E3E" w:rsidRDefault="004957B5" w:rsidP="004957B5">
      <w:pPr>
        <w:ind w:right="-1" w:firstLine="567"/>
        <w:jc w:val="both"/>
        <w:rPr>
          <w:color w:val="000000"/>
        </w:rPr>
      </w:pPr>
    </w:p>
    <w:p w:rsidR="004957B5" w:rsidRPr="00263E3E" w:rsidRDefault="004957B5" w:rsidP="004957B5">
      <w:pPr>
        <w:numPr>
          <w:ilvl w:val="0"/>
          <w:numId w:val="35"/>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4957B5" w:rsidRPr="00263E3E" w:rsidRDefault="004957B5" w:rsidP="004957B5">
      <w:pPr>
        <w:ind w:left="927" w:right="-1"/>
        <w:contextualSpacing/>
        <w:jc w:val="both"/>
        <w:rPr>
          <w:color w:val="000000"/>
        </w:rPr>
      </w:pPr>
    </w:p>
    <w:tbl>
      <w:tblPr>
        <w:tblStyle w:val="af8"/>
        <w:tblW w:w="0" w:type="auto"/>
        <w:tblInd w:w="927" w:type="dxa"/>
        <w:tblLook w:val="04A0" w:firstRow="1" w:lastRow="0" w:firstColumn="1" w:lastColumn="0" w:noHBand="0" w:noVBand="1"/>
      </w:tblPr>
      <w:tblGrid>
        <w:gridCol w:w="769"/>
        <w:gridCol w:w="2410"/>
        <w:gridCol w:w="2126"/>
        <w:gridCol w:w="2410"/>
        <w:gridCol w:w="1553"/>
      </w:tblGrid>
      <w:tr w:rsidR="004957B5" w:rsidRPr="00263E3E" w:rsidTr="004C5AB0">
        <w:tc>
          <w:tcPr>
            <w:tcW w:w="769"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w:t>
            </w:r>
          </w:p>
          <w:p w:rsidR="004957B5" w:rsidRPr="00263E3E" w:rsidRDefault="004957B5"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Примечание</w:t>
            </w:r>
          </w:p>
        </w:tc>
      </w:tr>
      <w:tr w:rsidR="004957B5" w:rsidRPr="00263E3E" w:rsidTr="004C5AB0">
        <w:tc>
          <w:tcPr>
            <w:tcW w:w="76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r>
    </w:tbl>
    <w:p w:rsidR="004957B5" w:rsidRPr="00263E3E" w:rsidRDefault="004957B5" w:rsidP="004957B5">
      <w:pPr>
        <w:ind w:left="927" w:right="-1"/>
        <w:contextualSpacing/>
        <w:jc w:val="both"/>
        <w:rPr>
          <w:color w:val="000000"/>
        </w:rPr>
      </w:pPr>
    </w:p>
    <w:p w:rsidR="004957B5" w:rsidRPr="00263E3E" w:rsidRDefault="004957B5" w:rsidP="004957B5">
      <w:pPr>
        <w:numPr>
          <w:ilvl w:val="0"/>
          <w:numId w:val="35"/>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4957B5" w:rsidRPr="00263E3E" w:rsidRDefault="004957B5" w:rsidP="004957B5">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4957B5"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Примечание</w:t>
            </w:r>
          </w:p>
        </w:tc>
      </w:tr>
      <w:tr w:rsidR="004957B5" w:rsidRPr="00263E3E" w:rsidTr="004C5AB0">
        <w:tc>
          <w:tcPr>
            <w:tcW w:w="75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r>
      <w:tr w:rsidR="004957B5" w:rsidRPr="00263E3E" w:rsidTr="004C5AB0">
        <w:tc>
          <w:tcPr>
            <w:tcW w:w="75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r>
      <w:tr w:rsidR="004957B5" w:rsidRPr="00263E3E" w:rsidTr="004C5AB0">
        <w:tc>
          <w:tcPr>
            <w:tcW w:w="75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r>
    </w:tbl>
    <w:p w:rsidR="004957B5" w:rsidRPr="00263E3E" w:rsidRDefault="004957B5" w:rsidP="004957B5">
      <w:pPr>
        <w:ind w:left="927" w:right="-1"/>
        <w:contextualSpacing/>
        <w:jc w:val="both"/>
        <w:rPr>
          <w:color w:val="000000"/>
        </w:rPr>
      </w:pPr>
    </w:p>
    <w:p w:rsidR="004957B5" w:rsidRPr="00263E3E" w:rsidRDefault="004957B5" w:rsidP="004957B5">
      <w:pPr>
        <w:numPr>
          <w:ilvl w:val="0"/>
          <w:numId w:val="35"/>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4957B5" w:rsidRPr="00263E3E" w:rsidRDefault="004957B5" w:rsidP="004957B5">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4957B5" w:rsidRPr="00263E3E" w:rsidTr="004C5AB0">
        <w:tc>
          <w:tcPr>
            <w:tcW w:w="4914" w:type="dxa"/>
            <w:hideMark/>
          </w:tcPr>
          <w:p w:rsidR="004957B5" w:rsidRPr="00263E3E" w:rsidRDefault="004957B5" w:rsidP="004C5AB0">
            <w:pPr>
              <w:ind w:left="927"/>
              <w:contextualSpacing/>
              <w:rPr>
                <w:b/>
                <w:color w:val="000000"/>
                <w:u w:val="single"/>
              </w:rPr>
            </w:pPr>
            <w:r w:rsidRPr="00263E3E">
              <w:rPr>
                <w:b/>
                <w:color w:val="000000"/>
                <w:u w:val="single"/>
              </w:rPr>
              <w:t>Подрядчик:</w:t>
            </w:r>
          </w:p>
        </w:tc>
      </w:tr>
      <w:tr w:rsidR="004957B5" w:rsidRPr="00263E3E" w:rsidTr="004C5AB0">
        <w:tc>
          <w:tcPr>
            <w:tcW w:w="4914" w:type="dxa"/>
          </w:tcPr>
          <w:p w:rsidR="004957B5" w:rsidRPr="00263E3E" w:rsidRDefault="004957B5" w:rsidP="004C5AB0">
            <w:pPr>
              <w:ind w:left="927"/>
              <w:contextualSpacing/>
              <w:rPr>
                <w:b/>
                <w:color w:val="000000"/>
              </w:rPr>
            </w:pPr>
            <w:r w:rsidRPr="00263E3E">
              <w:rPr>
                <w:b/>
                <w:color w:val="000000"/>
              </w:rPr>
              <w:t>_________________________</w:t>
            </w:r>
          </w:p>
          <w:p w:rsidR="004957B5" w:rsidRPr="00263E3E" w:rsidRDefault="004957B5" w:rsidP="004C5AB0">
            <w:pPr>
              <w:ind w:left="927"/>
              <w:contextualSpacing/>
              <w:rPr>
                <w:b/>
                <w:color w:val="000000"/>
              </w:rPr>
            </w:pPr>
          </w:p>
        </w:tc>
      </w:tr>
      <w:tr w:rsidR="004957B5" w:rsidRPr="00263E3E" w:rsidTr="004C5AB0">
        <w:tc>
          <w:tcPr>
            <w:tcW w:w="4914" w:type="dxa"/>
            <w:hideMark/>
          </w:tcPr>
          <w:p w:rsidR="004957B5" w:rsidRPr="00263E3E" w:rsidRDefault="004957B5" w:rsidP="004C5AB0">
            <w:pPr>
              <w:ind w:left="927"/>
              <w:contextualSpacing/>
              <w:rPr>
                <w:color w:val="000000"/>
              </w:rPr>
            </w:pPr>
            <w:r w:rsidRPr="00263E3E">
              <w:rPr>
                <w:color w:val="000000"/>
              </w:rPr>
              <w:t xml:space="preserve">_________________ </w:t>
            </w:r>
          </w:p>
        </w:tc>
      </w:tr>
      <w:tr w:rsidR="004957B5" w:rsidRPr="00263E3E" w:rsidTr="004C5AB0">
        <w:tc>
          <w:tcPr>
            <w:tcW w:w="4914" w:type="dxa"/>
            <w:hideMark/>
          </w:tcPr>
          <w:p w:rsidR="004957B5" w:rsidRPr="00263E3E" w:rsidRDefault="004957B5" w:rsidP="004C5AB0">
            <w:pPr>
              <w:ind w:left="927"/>
              <w:contextualSpacing/>
              <w:rPr>
                <w:color w:val="000000"/>
              </w:rPr>
            </w:pPr>
            <w:r w:rsidRPr="00263E3E">
              <w:rPr>
                <w:color w:val="000000"/>
              </w:rPr>
              <w:t>М.П.</w:t>
            </w:r>
          </w:p>
        </w:tc>
      </w:tr>
    </w:tbl>
    <w:p w:rsidR="004957B5" w:rsidRPr="00263E3E" w:rsidRDefault="004957B5" w:rsidP="004957B5">
      <w:pPr>
        <w:ind w:left="927" w:right="-1"/>
        <w:contextualSpacing/>
        <w:jc w:val="both"/>
        <w:rPr>
          <w:color w:val="000000"/>
        </w:rPr>
      </w:pPr>
    </w:p>
    <w:p w:rsidR="004957B5" w:rsidRPr="00263E3E" w:rsidRDefault="004957B5" w:rsidP="004957B5">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4957B5" w:rsidRPr="00263E3E" w:rsidTr="004C5AB0">
        <w:tc>
          <w:tcPr>
            <w:tcW w:w="4914" w:type="dxa"/>
            <w:hideMark/>
          </w:tcPr>
          <w:p w:rsidR="004957B5" w:rsidRPr="00263E3E" w:rsidRDefault="004957B5" w:rsidP="004C5AB0">
            <w:pPr>
              <w:ind w:left="927"/>
              <w:contextualSpacing/>
              <w:rPr>
                <w:b/>
                <w:color w:val="000000"/>
                <w:u w:val="single"/>
              </w:rPr>
            </w:pPr>
            <w:r w:rsidRPr="00263E3E">
              <w:rPr>
                <w:b/>
                <w:color w:val="000000"/>
                <w:u w:val="single"/>
              </w:rPr>
              <w:t>Заказчик:</w:t>
            </w:r>
          </w:p>
        </w:tc>
        <w:tc>
          <w:tcPr>
            <w:tcW w:w="4914" w:type="dxa"/>
            <w:hideMark/>
          </w:tcPr>
          <w:p w:rsidR="004957B5" w:rsidRPr="00263E3E" w:rsidRDefault="004957B5" w:rsidP="004C5AB0">
            <w:pPr>
              <w:ind w:left="927"/>
              <w:contextualSpacing/>
              <w:rPr>
                <w:b/>
                <w:color w:val="000000"/>
                <w:u w:val="single"/>
              </w:rPr>
            </w:pPr>
            <w:r w:rsidRPr="00263E3E">
              <w:rPr>
                <w:b/>
                <w:color w:val="000000"/>
                <w:u w:val="single"/>
              </w:rPr>
              <w:t xml:space="preserve"> Подрядчик:</w:t>
            </w:r>
          </w:p>
        </w:tc>
      </w:tr>
      <w:tr w:rsidR="004957B5" w:rsidRPr="00263E3E" w:rsidTr="004C5AB0">
        <w:tc>
          <w:tcPr>
            <w:tcW w:w="4914" w:type="dxa"/>
          </w:tcPr>
          <w:p w:rsidR="004957B5" w:rsidRPr="00263E3E" w:rsidRDefault="004957B5" w:rsidP="004C5AB0">
            <w:pPr>
              <w:ind w:left="927"/>
              <w:contextualSpacing/>
              <w:rPr>
                <w:b/>
                <w:color w:val="000000"/>
              </w:rPr>
            </w:pPr>
            <w:r w:rsidRPr="00263E3E">
              <w:rPr>
                <w:b/>
                <w:color w:val="000000"/>
              </w:rPr>
              <w:t>АО «ЛОЭСК»</w:t>
            </w:r>
          </w:p>
          <w:p w:rsidR="004957B5" w:rsidRPr="00263E3E" w:rsidRDefault="004957B5" w:rsidP="004C5AB0">
            <w:pPr>
              <w:ind w:left="927"/>
              <w:contextualSpacing/>
              <w:rPr>
                <w:b/>
                <w:color w:val="000000"/>
                <w:u w:val="single"/>
              </w:rPr>
            </w:pPr>
          </w:p>
        </w:tc>
        <w:tc>
          <w:tcPr>
            <w:tcW w:w="4914" w:type="dxa"/>
          </w:tcPr>
          <w:p w:rsidR="004957B5" w:rsidRPr="00263E3E" w:rsidRDefault="004957B5" w:rsidP="004C5AB0">
            <w:pPr>
              <w:ind w:left="927"/>
              <w:contextualSpacing/>
              <w:rPr>
                <w:b/>
                <w:color w:val="000000"/>
              </w:rPr>
            </w:pPr>
            <w:r w:rsidRPr="00263E3E">
              <w:rPr>
                <w:b/>
                <w:color w:val="000000"/>
              </w:rPr>
              <w:t>_________________________</w:t>
            </w:r>
          </w:p>
          <w:p w:rsidR="004957B5" w:rsidRPr="00263E3E" w:rsidRDefault="004957B5" w:rsidP="004C5AB0">
            <w:pPr>
              <w:ind w:left="927"/>
              <w:contextualSpacing/>
              <w:rPr>
                <w:b/>
                <w:color w:val="000000"/>
              </w:rPr>
            </w:pPr>
          </w:p>
          <w:p w:rsidR="004957B5" w:rsidRPr="00263E3E" w:rsidRDefault="004957B5" w:rsidP="004C5AB0">
            <w:pPr>
              <w:ind w:left="927"/>
              <w:contextualSpacing/>
              <w:rPr>
                <w:b/>
                <w:color w:val="000000"/>
              </w:rPr>
            </w:pPr>
          </w:p>
        </w:tc>
      </w:tr>
      <w:tr w:rsidR="004957B5" w:rsidRPr="00263E3E" w:rsidTr="004C5AB0">
        <w:tc>
          <w:tcPr>
            <w:tcW w:w="4914" w:type="dxa"/>
          </w:tcPr>
          <w:p w:rsidR="004957B5" w:rsidRPr="00263E3E" w:rsidRDefault="004957B5" w:rsidP="004C5AB0">
            <w:pPr>
              <w:ind w:left="927"/>
              <w:contextualSpacing/>
              <w:rPr>
                <w:color w:val="000000"/>
              </w:rPr>
            </w:pPr>
            <w:r w:rsidRPr="00263E3E">
              <w:rPr>
                <w:color w:val="000000"/>
              </w:rPr>
              <w:t>___________________</w:t>
            </w:r>
          </w:p>
          <w:p w:rsidR="004957B5" w:rsidRPr="00263E3E" w:rsidRDefault="004957B5" w:rsidP="004C5AB0">
            <w:pPr>
              <w:ind w:left="927"/>
              <w:contextualSpacing/>
              <w:rPr>
                <w:color w:val="000000"/>
              </w:rPr>
            </w:pPr>
          </w:p>
        </w:tc>
        <w:tc>
          <w:tcPr>
            <w:tcW w:w="4914" w:type="dxa"/>
            <w:hideMark/>
          </w:tcPr>
          <w:p w:rsidR="004957B5" w:rsidRPr="00263E3E" w:rsidRDefault="004957B5" w:rsidP="004C5AB0">
            <w:pPr>
              <w:ind w:left="927"/>
              <w:contextualSpacing/>
              <w:rPr>
                <w:color w:val="000000"/>
              </w:rPr>
            </w:pPr>
            <w:r w:rsidRPr="00263E3E">
              <w:rPr>
                <w:color w:val="000000"/>
              </w:rPr>
              <w:t xml:space="preserve">_________________ </w:t>
            </w:r>
          </w:p>
        </w:tc>
      </w:tr>
      <w:tr w:rsidR="004957B5" w:rsidRPr="00263E3E" w:rsidTr="004C5AB0">
        <w:tc>
          <w:tcPr>
            <w:tcW w:w="4914" w:type="dxa"/>
            <w:hideMark/>
          </w:tcPr>
          <w:p w:rsidR="004957B5" w:rsidRPr="00263E3E" w:rsidRDefault="004957B5" w:rsidP="004C5AB0">
            <w:pPr>
              <w:ind w:left="927"/>
              <w:contextualSpacing/>
              <w:rPr>
                <w:color w:val="000000"/>
              </w:rPr>
            </w:pPr>
            <w:r w:rsidRPr="00263E3E">
              <w:rPr>
                <w:color w:val="000000"/>
              </w:rPr>
              <w:t>М.П.</w:t>
            </w:r>
          </w:p>
        </w:tc>
        <w:tc>
          <w:tcPr>
            <w:tcW w:w="4914" w:type="dxa"/>
            <w:hideMark/>
          </w:tcPr>
          <w:p w:rsidR="004957B5" w:rsidRPr="00263E3E" w:rsidRDefault="004957B5" w:rsidP="004C5AB0">
            <w:pPr>
              <w:ind w:left="927"/>
              <w:contextualSpacing/>
              <w:rPr>
                <w:color w:val="000000"/>
              </w:rPr>
            </w:pPr>
            <w:r w:rsidRPr="00263E3E">
              <w:rPr>
                <w:color w:val="000000"/>
              </w:rPr>
              <w:t>М.П.</w:t>
            </w:r>
          </w:p>
        </w:tc>
      </w:tr>
    </w:tbl>
    <w:p w:rsidR="00536DB6" w:rsidRDefault="00536DB6"/>
    <w:sectPr w:rsidR="00536DB6" w:rsidSect="004957B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ED" w:rsidRDefault="000323ED" w:rsidP="0076416A">
      <w:r>
        <w:separator/>
      </w:r>
    </w:p>
  </w:endnote>
  <w:endnote w:type="continuationSeparator" w:id="0">
    <w:p w:rsidR="000323ED" w:rsidRDefault="000323E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0D5F62">
          <w:rPr>
            <w:noProof/>
          </w:rPr>
          <w:t>16</w:t>
        </w:r>
        <w:r>
          <w:fldChar w:fldCharType="end"/>
        </w:r>
      </w:p>
    </w:sdtContent>
  </w:sdt>
  <w:p w:rsidR="0051283D" w:rsidRDefault="0051283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ED" w:rsidRDefault="000323ED" w:rsidP="0076416A">
      <w:r>
        <w:separator/>
      </w:r>
    </w:p>
  </w:footnote>
  <w:footnote w:type="continuationSeparator" w:id="0">
    <w:p w:rsidR="000323ED" w:rsidRDefault="000323ED" w:rsidP="0076416A">
      <w:r>
        <w:continuationSeparator/>
      </w:r>
    </w:p>
  </w:footnote>
  <w:footnote w:id="1">
    <w:p w:rsidR="00CA03C8" w:rsidRDefault="00CA03C8">
      <w:pPr>
        <w:pStyle w:val="af3"/>
      </w:pPr>
      <w:r>
        <w:rPr>
          <w:rStyle w:val="af5"/>
        </w:rPr>
        <w:footnoteRef/>
      </w:r>
      <w:r>
        <w:t xml:space="preserve"> </w:t>
      </w:r>
      <w:r w:rsidRPr="00CA03C8">
        <w:t>по договорам со стоимостью работ до 10 млн. руб., в том числе НДС 20% (при предоставлении соответствующих полномочий)</w:t>
      </w:r>
    </w:p>
  </w:footnote>
  <w:footnote w:id="2">
    <w:p w:rsidR="00CA03C8" w:rsidRDefault="00CA03C8">
      <w:pPr>
        <w:pStyle w:val="af3"/>
      </w:pPr>
      <w:r>
        <w:rPr>
          <w:rStyle w:val="af5"/>
        </w:rPr>
        <w:footnoteRef/>
      </w:r>
      <w:r>
        <w:t xml:space="preserve"> </w:t>
      </w:r>
      <w:r w:rsidRPr="00CA03C8">
        <w:t>в договорах, заключаемых с субъектами малого и среднего предпринимательства, сро</w:t>
      </w:r>
      <w:r w:rsidR="005A48A6">
        <w:t>к оплаты указывается не более 15</w:t>
      </w:r>
      <w:r w:rsidRPr="00CA03C8">
        <w:t xml:space="preserve"> (</w:t>
      </w:r>
      <w:r w:rsidR="005A48A6">
        <w:t>пятнадцати</w:t>
      </w:r>
      <w:r w:rsidRPr="00CA03C8">
        <w:t xml:space="preserve">) </w:t>
      </w:r>
      <w:r w:rsidR="005A48A6">
        <w:t>рабочих</w:t>
      </w:r>
      <w:r w:rsidRPr="00CA03C8">
        <w:t xml:space="preserve">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1" w15:restartNumberingAfterBreak="0">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456CF"/>
    <w:multiLevelType w:val="multilevel"/>
    <w:tmpl w:val="6C4E5890"/>
    <w:lvl w:ilvl="0">
      <w:start w:val="8"/>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15:restartNumberingAfterBreak="0">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15:restartNumberingAfterBreak="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15:restartNumberingAfterBreak="0">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15:restartNumberingAfterBreak="0">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566C2CD6"/>
    <w:multiLevelType w:val="multilevel"/>
    <w:tmpl w:val="A8A66C5C"/>
    <w:lvl w:ilvl="0">
      <w:start w:val="9"/>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30"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1"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2"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2"/>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30"/>
  </w:num>
  <w:num w:numId="13">
    <w:abstractNumId w:val="6"/>
  </w:num>
  <w:num w:numId="14">
    <w:abstractNumId w:val="18"/>
  </w:num>
  <w:num w:numId="15">
    <w:abstractNumId w:val="33"/>
  </w:num>
  <w:num w:numId="16">
    <w:abstractNumId w:val="19"/>
  </w:num>
  <w:num w:numId="17">
    <w:abstractNumId w:val="14"/>
  </w:num>
  <w:num w:numId="18">
    <w:abstractNumId w:val="29"/>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31"/>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 w:numId="34">
    <w:abstractNumId w:val="2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5E21"/>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23ED"/>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5F62"/>
    <w:rsid w:val="000D7CD3"/>
    <w:rsid w:val="000E1861"/>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0D44"/>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E7E15"/>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B76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76C4E"/>
    <w:rsid w:val="0048014B"/>
    <w:rsid w:val="00480444"/>
    <w:rsid w:val="00481E9C"/>
    <w:rsid w:val="004820D6"/>
    <w:rsid w:val="00482838"/>
    <w:rsid w:val="004828F7"/>
    <w:rsid w:val="004835C4"/>
    <w:rsid w:val="00483EB9"/>
    <w:rsid w:val="00484D91"/>
    <w:rsid w:val="004859E7"/>
    <w:rsid w:val="004875A8"/>
    <w:rsid w:val="004904AD"/>
    <w:rsid w:val="0049152C"/>
    <w:rsid w:val="00491579"/>
    <w:rsid w:val="004935FF"/>
    <w:rsid w:val="00493D02"/>
    <w:rsid w:val="004957B5"/>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5E4"/>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AA9"/>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8A6"/>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473"/>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14C0"/>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2D"/>
    <w:rsid w:val="007064C1"/>
    <w:rsid w:val="00707586"/>
    <w:rsid w:val="00710546"/>
    <w:rsid w:val="0071419F"/>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5E1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97"/>
    <w:rsid w:val="008A56E8"/>
    <w:rsid w:val="008A5AF9"/>
    <w:rsid w:val="008A6177"/>
    <w:rsid w:val="008A6610"/>
    <w:rsid w:val="008B1C0F"/>
    <w:rsid w:val="008B63DF"/>
    <w:rsid w:val="008B65E4"/>
    <w:rsid w:val="008B6C42"/>
    <w:rsid w:val="008C17A4"/>
    <w:rsid w:val="008C21BC"/>
    <w:rsid w:val="008C343B"/>
    <w:rsid w:val="008C5D9E"/>
    <w:rsid w:val="008D0041"/>
    <w:rsid w:val="008D4D35"/>
    <w:rsid w:val="008D6E0C"/>
    <w:rsid w:val="008E048A"/>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0DF"/>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19ED"/>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1D93"/>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4EC6"/>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E7F9E"/>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4E25"/>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879E0"/>
    <w:rsid w:val="00C90599"/>
    <w:rsid w:val="00C927B2"/>
    <w:rsid w:val="00C943FD"/>
    <w:rsid w:val="00C967A3"/>
    <w:rsid w:val="00CA03C8"/>
    <w:rsid w:val="00CA1251"/>
    <w:rsid w:val="00CA2345"/>
    <w:rsid w:val="00CA5CF5"/>
    <w:rsid w:val="00CB013E"/>
    <w:rsid w:val="00CB0ECD"/>
    <w:rsid w:val="00CB1541"/>
    <w:rsid w:val="00CB2591"/>
    <w:rsid w:val="00CB2E8B"/>
    <w:rsid w:val="00CB384D"/>
    <w:rsid w:val="00CB5994"/>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0CE5"/>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037"/>
    <w:rsid w:val="00E058E1"/>
    <w:rsid w:val="00E06EAA"/>
    <w:rsid w:val="00E06F53"/>
    <w:rsid w:val="00E11835"/>
    <w:rsid w:val="00E15250"/>
    <w:rsid w:val="00E161BD"/>
    <w:rsid w:val="00E16583"/>
    <w:rsid w:val="00E17A13"/>
    <w:rsid w:val="00E22829"/>
    <w:rsid w:val="00E22F7F"/>
    <w:rsid w:val="00E23C66"/>
    <w:rsid w:val="00E2556E"/>
    <w:rsid w:val="00E25AAD"/>
    <w:rsid w:val="00E264C8"/>
    <w:rsid w:val="00E2756F"/>
    <w:rsid w:val="00E27D7D"/>
    <w:rsid w:val="00E30170"/>
    <w:rsid w:val="00E30467"/>
    <w:rsid w:val="00E30642"/>
    <w:rsid w:val="00E322C0"/>
    <w:rsid w:val="00E33508"/>
    <w:rsid w:val="00E33CC0"/>
    <w:rsid w:val="00E42529"/>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1C56"/>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29C"/>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7A5"/>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DB5"/>
    <w:rsid w:val="00FA0C1E"/>
    <w:rsid w:val="00FA15EC"/>
    <w:rsid w:val="00FA1D98"/>
    <w:rsid w:val="00FA2098"/>
    <w:rsid w:val="00FA3AA3"/>
    <w:rsid w:val="00FA3F42"/>
    <w:rsid w:val="00FA410D"/>
    <w:rsid w:val="00FA521C"/>
    <w:rsid w:val="00FA6019"/>
    <w:rsid w:val="00FA6E71"/>
    <w:rsid w:val="00FB0599"/>
    <w:rsid w:val="00FB178A"/>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05F"/>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0D52F-718A-4411-A387-78725AF4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 w:type="table" w:styleId="af8">
    <w:name w:val="Table Grid"/>
    <w:basedOn w:val="a1"/>
    <w:rsid w:val="004957B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B5DC-44CE-4C73-9972-A2F805DB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9408</Words>
  <Characters>53628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6</cp:revision>
  <cp:lastPrinted>2020-01-16T06:18:00Z</cp:lastPrinted>
  <dcterms:created xsi:type="dcterms:W3CDTF">2019-09-09T08:16:00Z</dcterms:created>
  <dcterms:modified xsi:type="dcterms:W3CDTF">2020-01-16T06:18:00Z</dcterms:modified>
</cp:coreProperties>
</file>