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3E4564" w:rsidP="003E4564">
      <w:pPr>
        <w:jc w:val="right"/>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1C112D" w:rsidRDefault="001C112D" w:rsidP="00DC2907">
      <w:pPr>
        <w:pStyle w:val="a4"/>
        <w:numPr>
          <w:ilvl w:val="1"/>
          <w:numId w:val="16"/>
        </w:numPr>
        <w:ind w:left="0" w:firstLine="567"/>
        <w:jc w:val="both"/>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 xml:space="preserve">Заказчик в любое время вправе приостановить выполнение работ по настоящему </w:t>
      </w:r>
      <w:r w:rsidRPr="00DE504E">
        <w:lastRenderedPageBreak/>
        <w:t>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lastRenderedPageBreak/>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lastRenderedPageBreak/>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lastRenderedPageBreak/>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77703E" w:rsidRPr="00DE504E" w:rsidRDefault="0077703E" w:rsidP="0082697D">
      <w:pPr>
        <w:pStyle w:val="a4"/>
        <w:numPr>
          <w:ilvl w:val="1"/>
          <w:numId w:val="16"/>
        </w:numPr>
        <w:spacing w:before="120"/>
        <w:ind w:left="0" w:firstLine="705"/>
        <w:jc w:val="both"/>
      </w:pPr>
      <w:bookmarkStart w:id="0" w:name="_GoBack"/>
      <w:bookmarkEnd w:id="0"/>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 xml:space="preserve">недостатков и/или </w:t>
      </w:r>
      <w:r w:rsidRPr="00DE504E">
        <w:lastRenderedPageBreak/>
        <w:t>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 xml:space="preserve">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w:t>
      </w:r>
      <w:r w:rsidRPr="000E6B61">
        <w:lastRenderedPageBreak/>
        <w:t>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xml:space="preserve">) числа календарного </w:t>
      </w:r>
      <w:r w:rsidRPr="00DE504E">
        <w:lastRenderedPageBreak/>
        <w:t>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462F4" w:rsidRPr="00B72962">
        <w:lastRenderedPageBreak/>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462F4" w:rsidRPr="00B72962">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462F4" w:rsidRPr="00B72962">
        <w:t>30 (тридцати) календарных дней</w:t>
      </w:r>
      <w:r w:rsidR="002462F4" w:rsidRPr="00DE504E">
        <w:t xml:space="preserve"> </w:t>
      </w:r>
      <w:r w:rsidRPr="00DE504E">
        <w:t xml:space="preserve">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2462F4" w:rsidRPr="00B72962">
        <w:t>30 (тридцати) календарных дней</w:t>
      </w:r>
      <w:r w:rsidR="002462F4"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2462F4">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lastRenderedPageBreak/>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w:t>
      </w:r>
      <w:proofErr w:type="gramStart"/>
      <w:r w:rsidR="00226D04" w:rsidRPr="00DE504E">
        <w:t xml:space="preserve">шесть) </w:t>
      </w:r>
      <w:r w:rsidRPr="00DE504E">
        <w:t xml:space="preserve"> месяцев</w:t>
      </w:r>
      <w:proofErr w:type="gramEnd"/>
      <w:r w:rsidRPr="00DE504E">
        <w:t xml:space="preserve">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proofErr w:type="gramStart"/>
      <w:r w:rsidR="00B56C6A" w:rsidRPr="00DE504E">
        <w:t xml:space="preserve">даты  </w:t>
      </w:r>
      <w:r w:rsidRPr="00DE504E">
        <w:t>выставления</w:t>
      </w:r>
      <w:proofErr w:type="gramEnd"/>
      <w:r w:rsidRPr="00DE504E">
        <w:t xml:space="preserve">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lastRenderedPageBreak/>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w:t>
      </w:r>
      <w:r w:rsidRPr="00DE504E">
        <w:rPr>
          <w:noProof/>
        </w:rPr>
        <w:lastRenderedPageBreak/>
        <w:t xml:space="preserve">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DC2907">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lastRenderedPageBreak/>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Default="00E31FD0" w:rsidP="00E31FD0">
      <w:pPr>
        <w:pStyle w:val="a4"/>
        <w:ind w:left="709"/>
        <w:jc w:val="both"/>
      </w:pPr>
    </w:p>
    <w:p w:rsidR="008336CE" w:rsidRPr="008336CE" w:rsidRDefault="00EC77A8" w:rsidP="008336CE">
      <w:pPr>
        <w:pStyle w:val="a4"/>
        <w:numPr>
          <w:ilvl w:val="0"/>
          <w:numId w:val="17"/>
        </w:numPr>
        <w:spacing w:before="120"/>
        <w:jc w:val="center"/>
        <w:rPr>
          <w:b/>
        </w:rPr>
      </w:pPr>
      <w:r>
        <w:rPr>
          <w:b/>
        </w:rPr>
        <w:t>АНТИКОРРУПЦИОННАЯ ОГОВОРКА</w:t>
      </w:r>
    </w:p>
    <w:p w:rsidR="008336CE" w:rsidRPr="008336CE" w:rsidRDefault="008336CE" w:rsidP="008336CE">
      <w:pPr>
        <w:pStyle w:val="a4"/>
        <w:numPr>
          <w:ilvl w:val="1"/>
          <w:numId w:val="17"/>
        </w:numPr>
        <w:ind w:left="0" w:firstLine="709"/>
        <w:jc w:val="both"/>
      </w:pPr>
      <w:r w:rsidRPr="00CF3CB4">
        <w:rPr>
          <w:rFonts w:eastAsia="Calibri"/>
        </w:rPr>
        <w:t xml:space="preserve"> </w:t>
      </w:r>
      <w:r w:rsidRPr="008336CE">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8336CE" w:rsidRPr="008336CE" w:rsidRDefault="008336CE" w:rsidP="008336CE">
      <w:pPr>
        <w:pStyle w:val="a4"/>
        <w:ind w:firstLine="709"/>
        <w:jc w:val="both"/>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8336CE">
        <w:t>.</w:t>
      </w:r>
    </w:p>
    <w:p w:rsidR="008336CE" w:rsidRPr="008336CE" w:rsidRDefault="008336CE" w:rsidP="008336CE">
      <w:pPr>
        <w:pStyle w:val="a4"/>
        <w:numPr>
          <w:ilvl w:val="1"/>
          <w:numId w:val="17"/>
        </w:numPr>
        <w:ind w:left="0" w:firstLine="709"/>
        <w:jc w:val="both"/>
      </w:pPr>
      <w:r w:rsidRPr="008336CE">
        <w:t xml:space="preserve">В случае возникновения у стороны подозрений, что произошло или может произойти нарушение п. </w:t>
      </w:r>
      <w:r>
        <w:t>13</w:t>
      </w:r>
      <w:r w:rsidRPr="008336CE">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8336CE" w:rsidRPr="008336CE" w:rsidRDefault="008336CE" w:rsidP="008336CE">
      <w:pPr>
        <w:ind w:firstLine="709"/>
        <w:jc w:val="both"/>
      </w:pPr>
      <w:r w:rsidRPr="008336CE">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8336CE" w:rsidRPr="008336CE" w:rsidRDefault="008336CE" w:rsidP="008336CE">
      <w:pPr>
        <w:pStyle w:val="a4"/>
        <w:numPr>
          <w:ilvl w:val="1"/>
          <w:numId w:val="17"/>
        </w:numPr>
        <w:ind w:left="0" w:firstLine="709"/>
        <w:jc w:val="both"/>
      </w:pPr>
      <w:r w:rsidRPr="008336CE">
        <w:t xml:space="preserve">Исполнение обязательств по Договору приостанавливается с момента направления стороной уведомления, указанного в п. </w:t>
      </w:r>
      <w:r>
        <w:t>13</w:t>
      </w:r>
      <w:r w:rsidRPr="008336CE">
        <w:t>.2 Договора, до момента получения ею ответа.</w:t>
      </w:r>
    </w:p>
    <w:p w:rsidR="008336CE" w:rsidRPr="008336CE" w:rsidRDefault="008336CE" w:rsidP="008336CE">
      <w:pPr>
        <w:pStyle w:val="a4"/>
        <w:numPr>
          <w:ilvl w:val="1"/>
          <w:numId w:val="17"/>
        </w:numPr>
        <w:ind w:left="0" w:firstLine="709"/>
        <w:jc w:val="both"/>
      </w:pPr>
      <w:r w:rsidRPr="008336CE">
        <w:t>Если подтвердилось нарушение другой стороной обязательств, указанных в п.</w:t>
      </w:r>
      <w:r>
        <w:t>13</w:t>
      </w:r>
      <w:r w:rsidRPr="008336CE">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8336CE" w:rsidRDefault="008336CE"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w:t>
      </w:r>
      <w:r w:rsidRPr="00DE504E">
        <w:lastRenderedPageBreak/>
        <w:t>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lastRenderedPageBreak/>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3"/>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lastRenderedPageBreak/>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w:t>
      </w:r>
      <w:r w:rsidRPr="00DE504E">
        <w:rPr>
          <w:i/>
        </w:rPr>
        <w:lastRenderedPageBreak/>
        <w:t>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 xml:space="preserve">проведение работ по выносу в натуру границ охранной зоны (маркировке охранной </w:t>
      </w:r>
      <w:proofErr w:type="gramStart"/>
      <w:r w:rsidRPr="00DE504E">
        <w:rPr>
          <w:i/>
        </w:rPr>
        <w:t>зоны)  –</w:t>
      </w:r>
      <w:proofErr w:type="gramEnd"/>
      <w:r w:rsidRPr="00DE504E">
        <w:rPr>
          <w:i/>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AB26B0"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lastRenderedPageBreak/>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xml:space="preserve">,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w:t>
      </w:r>
      <w:r w:rsidRPr="00DE504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по </w:t>
            </w:r>
            <w:r w:rsidR="009D6A64">
              <w:rPr>
                <w:sz w:val="20"/>
                <w:szCs w:val="20"/>
              </w:rPr>
              <w:lastRenderedPageBreak/>
              <w:t>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DE504E">
              <w:rPr>
                <w:iCs/>
                <w:color w:val="000000"/>
                <w:sz w:val="20"/>
                <w:szCs w:val="20"/>
              </w:rPr>
              <w:lastRenderedPageBreak/>
              <w:t>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 xml:space="preserve">Подготовка схемы расположения земельного участка на кадастровом плане территории, получение от имени </w:t>
            </w:r>
            <w:r w:rsidRPr="00DE504E">
              <w:rPr>
                <w:sz w:val="20"/>
                <w:szCs w:val="20"/>
              </w:rPr>
              <w:lastRenderedPageBreak/>
              <w:t>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w:t>
            </w:r>
            <w:r w:rsidR="0092298A" w:rsidRPr="00DE504E">
              <w:rPr>
                <w:sz w:val="20"/>
                <w:szCs w:val="20"/>
              </w:rPr>
              <w:lastRenderedPageBreak/>
              <w:t>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4"/>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AB26B0"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 xml:space="preserve">по письменному запросу </w:t>
      </w:r>
      <w:r w:rsidRPr="002E3536">
        <w:rPr>
          <w:u w:val="single"/>
        </w:rPr>
        <w:lastRenderedPageBreak/>
        <w:t>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5"/>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lastRenderedPageBreak/>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lastRenderedPageBreak/>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кВ,</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lastRenderedPageBreak/>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Предоставление в письменном виде информации об объемах и породном составе вырубаемой древесины не позднее 15 </w:t>
            </w:r>
            <w:r w:rsidRPr="00DE504E">
              <w:rPr>
                <w:sz w:val="20"/>
                <w:szCs w:val="20"/>
              </w:rPr>
              <w:lastRenderedPageBreak/>
              <w:t>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lastRenderedPageBreak/>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D8" w:rsidRDefault="00737BD8" w:rsidP="0076416A">
      <w:r>
        <w:separator/>
      </w:r>
    </w:p>
  </w:endnote>
  <w:endnote w:type="continuationSeparator" w:id="0">
    <w:p w:rsidR="00737BD8" w:rsidRDefault="00737BD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1C112D" w:rsidRDefault="001C112D">
        <w:pPr>
          <w:pStyle w:val="aa"/>
          <w:jc w:val="right"/>
        </w:pPr>
        <w:r>
          <w:fldChar w:fldCharType="begin"/>
        </w:r>
        <w:r>
          <w:instrText>PAGE   \* MERGEFORMAT</w:instrText>
        </w:r>
        <w:r>
          <w:fldChar w:fldCharType="separate"/>
        </w:r>
        <w:r w:rsidR="00AB26B0">
          <w:rPr>
            <w:noProof/>
          </w:rPr>
          <w:t>26</w:t>
        </w:r>
        <w:r>
          <w:fldChar w:fldCharType="end"/>
        </w:r>
      </w:p>
    </w:sdtContent>
  </w:sdt>
  <w:p w:rsidR="001C112D" w:rsidRDefault="001C11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112D" w:rsidRDefault="001C112D"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D8" w:rsidRDefault="00737BD8" w:rsidP="0076416A">
      <w:r>
        <w:separator/>
      </w:r>
    </w:p>
  </w:footnote>
  <w:footnote w:type="continuationSeparator" w:id="0">
    <w:p w:rsidR="00737BD8" w:rsidRDefault="00737BD8" w:rsidP="0076416A">
      <w:r>
        <w:continuationSeparator/>
      </w:r>
    </w:p>
  </w:footnote>
  <w:footnote w:id="1">
    <w:p w:rsidR="001C112D" w:rsidRDefault="001C112D" w:rsidP="00EE64C3">
      <w:pPr>
        <w:pStyle w:val="ae"/>
        <w:jc w:val="both"/>
      </w:pPr>
      <w:r>
        <w:rPr>
          <w:rStyle w:val="af0"/>
        </w:rPr>
        <w:footnoteRef/>
      </w:r>
      <w:r>
        <w:t xml:space="preserve"> по договорам со стоимостью работ до </w:t>
      </w:r>
      <w:r w:rsidR="00DA6906">
        <w:t>10 млн. руб., в том числе НДС 20</w:t>
      </w:r>
      <w:r>
        <w:t>%</w:t>
      </w:r>
      <w:r w:rsidRPr="000A12E8">
        <w:t xml:space="preserve"> </w:t>
      </w:r>
      <w:r>
        <w:t>(при предоставлении соответствующих полномочий)</w:t>
      </w:r>
    </w:p>
  </w:footnote>
  <w:footnote w:id="2">
    <w:p w:rsidR="001C112D" w:rsidRDefault="001C112D"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1C112D" w:rsidRDefault="001C112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1C112D" w:rsidRDefault="001C112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1C112D" w:rsidRDefault="001C112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66"/>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462F4"/>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222"/>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37BD8"/>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336CE"/>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6B0"/>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493E"/>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6018"/>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A6906"/>
    <w:rsid w:val="00DB1E41"/>
    <w:rsid w:val="00DB2BBF"/>
    <w:rsid w:val="00DB320C"/>
    <w:rsid w:val="00DB3DBF"/>
    <w:rsid w:val="00DB435A"/>
    <w:rsid w:val="00DB566D"/>
    <w:rsid w:val="00DB64F2"/>
    <w:rsid w:val="00DB698D"/>
    <w:rsid w:val="00DB6DBC"/>
    <w:rsid w:val="00DB77DB"/>
    <w:rsid w:val="00DC024E"/>
    <w:rsid w:val="00DC0CD0"/>
    <w:rsid w:val="00DC1C3B"/>
    <w:rsid w:val="00DC2907"/>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C77A8"/>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1DCE"/>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919C"/>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A4D5-4CF3-4B32-8713-800CAF4D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23322</Words>
  <Characters>132938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Шадрина Анна Владимировна</cp:lastModifiedBy>
  <cp:revision>11</cp:revision>
  <cp:lastPrinted>2017-02-02T13:34:00Z</cp:lastPrinted>
  <dcterms:created xsi:type="dcterms:W3CDTF">2019-02-14T08:38:00Z</dcterms:created>
  <dcterms:modified xsi:type="dcterms:W3CDTF">2019-08-19T08:19:00Z</dcterms:modified>
</cp:coreProperties>
</file>