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lastRenderedPageBreak/>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496169">
        <w:rPr>
          <w:b/>
          <w:sz w:val="20"/>
          <w:szCs w:val="20"/>
        </w:rPr>
        <w:t xml:space="preserve"> </w:t>
      </w:r>
      <w:r w:rsidR="00485BD9">
        <w:rPr>
          <w:b/>
          <w:sz w:val="20"/>
          <w:szCs w:val="20"/>
        </w:rPr>
        <w:t>07.02.2018г.; 09:00</w:t>
      </w:r>
      <w:r w:rsidR="00C1387C">
        <w:rPr>
          <w:b/>
          <w:sz w:val="20"/>
          <w:szCs w:val="20"/>
        </w:rPr>
        <w:t xml:space="preserve"> (</w:t>
      </w:r>
      <w:r w:rsidR="00EB55D6">
        <w:rPr>
          <w:b/>
          <w:sz w:val="20"/>
          <w:szCs w:val="20"/>
        </w:rPr>
        <w:t>МСК</w:t>
      </w:r>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485BD9">
        <w:rPr>
          <w:b/>
          <w:sz w:val="20"/>
          <w:szCs w:val="20"/>
        </w:rPr>
        <w:t xml:space="preserve">07.02.2018г.; 09:00 </w:t>
      </w:r>
      <w:r w:rsidR="00456B22" w:rsidRPr="00A14928">
        <w:rPr>
          <w:b/>
          <w:sz w:val="20"/>
          <w:szCs w:val="20"/>
        </w:rPr>
        <w:t>(</w:t>
      </w:r>
      <w:r w:rsidR="00EB55D6">
        <w:rPr>
          <w:b/>
          <w:sz w:val="20"/>
          <w:szCs w:val="20"/>
        </w:rPr>
        <w:t>МСК</w:t>
      </w:r>
      <w:r w:rsidR="00456B22" w:rsidRPr="00A14928">
        <w:rPr>
          <w:b/>
          <w:sz w:val="20"/>
          <w:szCs w:val="20"/>
        </w:rPr>
        <w:t>)</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485BD9">
        <w:rPr>
          <w:b/>
          <w:sz w:val="20"/>
          <w:szCs w:val="20"/>
        </w:rPr>
        <w:t xml:space="preserve">: </w:t>
      </w:r>
      <w:bookmarkStart w:id="13" w:name="_GoBack"/>
      <w:bookmarkEnd w:id="13"/>
      <w:r w:rsidR="00485BD9">
        <w:rPr>
          <w:b/>
          <w:sz w:val="20"/>
          <w:szCs w:val="20"/>
        </w:rPr>
        <w:t>09.02.2018г.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4F5CAD" w:rsidRDefault="00361B71" w:rsidP="003E6091">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течение </w:t>
            </w:r>
            <w:r w:rsidR="003E6091">
              <w:rPr>
                <w:sz w:val="20"/>
                <w:szCs w:val="20"/>
              </w:rPr>
              <w:t>45</w:t>
            </w:r>
            <w:r w:rsidR="006E5048" w:rsidRPr="004F5CAD">
              <w:rPr>
                <w:sz w:val="20"/>
                <w:szCs w:val="20"/>
              </w:rPr>
              <w:t xml:space="preserve"> (</w:t>
            </w:r>
            <w:r w:rsidR="003E6091">
              <w:rPr>
                <w:sz w:val="20"/>
                <w:szCs w:val="20"/>
              </w:rPr>
              <w:t>сорока пяти</w:t>
            </w:r>
            <w:r w:rsidR="006E5048" w:rsidRPr="004F5CAD">
              <w:rPr>
                <w:sz w:val="20"/>
                <w:szCs w:val="20"/>
              </w:rPr>
              <w:t>)</w:t>
            </w:r>
            <w:r w:rsidR="00155901" w:rsidRPr="004F5CAD">
              <w:rPr>
                <w:sz w:val="20"/>
                <w:szCs w:val="20"/>
              </w:rPr>
              <w:t xml:space="preserve"> календарных дней с даты заключения настоящего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39212C" w:rsidP="003E6091">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1C7CD0">
              <w:rPr>
                <w:color w:val="000000"/>
                <w:sz w:val="20"/>
                <w:szCs w:val="20"/>
              </w:rPr>
              <w:t xml:space="preserve">, </w:t>
            </w:r>
            <w:r w:rsidR="003E6091">
              <w:rPr>
                <w:color w:val="000000"/>
                <w:sz w:val="20"/>
                <w:szCs w:val="20"/>
              </w:rPr>
              <w:t>Всеволожский</w:t>
            </w:r>
            <w:r w:rsidR="00AC62E2">
              <w:rPr>
                <w:color w:val="000000"/>
                <w:sz w:val="20"/>
                <w:szCs w:val="20"/>
              </w:rPr>
              <w:t xml:space="preserve"> район</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товара полностью и не подписывать товарную </w:t>
            </w:r>
            <w:r w:rsidRPr="00CC0A5D">
              <w:rPr>
                <w:rFonts w:ascii="Times New Roman" w:eastAsia="Times New Roman" w:hAnsi="Times New Roman"/>
                <w:sz w:val="20"/>
                <w:szCs w:val="20"/>
                <w:lang w:eastAsia="ru-RU"/>
              </w:rPr>
              <w:lastRenderedPageBreak/>
              <w:t>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DC2E0E" w:rsidRDefault="00DC2E0E"/>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272FB3">
              <w:rPr>
                <w:color w:val="000000" w:themeColor="text1"/>
                <w:sz w:val="20"/>
                <w:szCs w:val="20"/>
              </w:rPr>
              <w:t>5</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7F11EF">
              <w:rPr>
                <w:sz w:val="20"/>
                <w:szCs w:val="20"/>
              </w:rPr>
              <w:t>2</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w:t>
            </w:r>
            <w:r w:rsidR="009756AA">
              <w:rPr>
                <w:sz w:val="20"/>
                <w:szCs w:val="20"/>
              </w:rPr>
              <w:t>Наличие положительной</w:t>
            </w:r>
            <w:r w:rsidR="00106ED9">
              <w:rPr>
                <w:sz w:val="20"/>
                <w:szCs w:val="20"/>
              </w:rPr>
              <w:t xml:space="preserve">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7A3A06">
              <w:rPr>
                <w:sz w:val="20"/>
                <w:szCs w:val="20"/>
              </w:rPr>
              <w:t>1</w:t>
            </w:r>
          </w:p>
        </w:tc>
      </w:tr>
      <w:tr w:rsidR="007F11EF" w:rsidRPr="008A33BC" w:rsidTr="0005217F">
        <w:trPr>
          <w:trHeight w:val="274"/>
        </w:trPr>
        <w:tc>
          <w:tcPr>
            <w:tcW w:w="1908" w:type="pct"/>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05217F">
        <w:trPr>
          <w:trHeight w:val="274"/>
        </w:trPr>
        <w:tc>
          <w:tcPr>
            <w:tcW w:w="1908" w:type="pct"/>
            <w:vAlign w:val="center"/>
          </w:tcPr>
          <w:p w:rsidR="007A3A06" w:rsidRPr="002A1D31" w:rsidRDefault="007A3A06"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4.5. Гарантийный срок на товар составляет не менее 36 (тридцати шести) месяцев с даты подписания Покупателем товарной </w:t>
            </w:r>
            <w:r>
              <w:rPr>
                <w:rFonts w:ascii="Times New Roman" w:eastAsia="Times New Roman" w:hAnsi="Times New Roman"/>
                <w:sz w:val="20"/>
                <w:szCs w:val="20"/>
                <w:lang w:eastAsia="ru-RU"/>
              </w:rPr>
              <w:lastRenderedPageBreak/>
              <w:t>накладной.</w:t>
            </w:r>
          </w:p>
        </w:tc>
        <w:tc>
          <w:tcPr>
            <w:tcW w:w="2370" w:type="pct"/>
            <w:vAlign w:val="center"/>
          </w:tcPr>
          <w:p w:rsidR="007A3A06" w:rsidRPr="00E36005" w:rsidRDefault="007A3A06" w:rsidP="007A3A06">
            <w:pPr>
              <w:rPr>
                <w:noProof/>
                <w:color w:val="000000"/>
                <w:sz w:val="20"/>
                <w:szCs w:val="20"/>
              </w:rPr>
            </w:pPr>
            <w:r w:rsidRPr="00DE7930">
              <w:rPr>
                <w:color w:val="000000"/>
                <w:sz w:val="20"/>
                <w:szCs w:val="20"/>
              </w:rPr>
              <w:lastRenderedPageBreak/>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w:t>
            </w:r>
            <w:r w:rsidRPr="00DE7930">
              <w:rPr>
                <w:color w:val="000000"/>
                <w:sz w:val="20"/>
                <w:szCs w:val="20"/>
              </w:rPr>
              <w:lastRenderedPageBreak/>
              <w:t xml:space="preserve">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722"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0,1</w:t>
            </w:r>
          </w:p>
        </w:tc>
      </w:tr>
      <w:tr w:rsidR="009C0A62" w:rsidRPr="008A33BC" w:rsidTr="009C0A62">
        <w:tc>
          <w:tcPr>
            <w:tcW w:w="5000" w:type="pct"/>
            <w:gridSpan w:val="3"/>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lastRenderedPageBreak/>
              <w:t>5. Срок заключения Договоров</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C0A62">
        <w:tc>
          <w:tcPr>
            <w:tcW w:w="1908" w:type="pct"/>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7A3A06">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A3A06">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A3A06">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A3A06">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tcPr>
          <w:p w:rsidR="00361B71" w:rsidRPr="004F5CAD" w:rsidRDefault="00B55BCD" w:rsidP="00B55BCD">
            <w:pPr>
              <w:widowControl w:val="0"/>
              <w:autoSpaceDE w:val="0"/>
              <w:autoSpaceDN w:val="0"/>
              <w:adjustRightInd w:val="0"/>
              <w:jc w:val="both"/>
              <w:rPr>
                <w:sz w:val="20"/>
                <w:szCs w:val="20"/>
              </w:rPr>
            </w:pPr>
            <w:r w:rsidRPr="00B55BCD">
              <w:rPr>
                <w:sz w:val="20"/>
                <w:szCs w:val="20"/>
              </w:rPr>
              <w:t>Поставка товара осуществляется Поставщиком в течение 45 (сорока пяти) календарных дней с даты заключения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1486"/>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359"/>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tcPr>
          <w:p w:rsidR="00F77381" w:rsidRPr="008A33BC" w:rsidRDefault="00DD30C4" w:rsidP="003E6091">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xml:space="preserve">, </w:t>
            </w:r>
            <w:r w:rsidR="003E6091">
              <w:rPr>
                <w:color w:val="000000"/>
                <w:sz w:val="20"/>
                <w:szCs w:val="20"/>
              </w:rPr>
              <w:t>Всеволожский</w:t>
            </w:r>
            <w:r w:rsidR="00747D7A">
              <w:rPr>
                <w:color w:val="000000"/>
                <w:sz w:val="20"/>
                <w:szCs w:val="20"/>
              </w:rPr>
              <w:t xml:space="preserve"> район</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A3A06">
        <w:trPr>
          <w:trHeight w:val="490"/>
        </w:trPr>
        <w:tc>
          <w:tcPr>
            <w:tcW w:w="250"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583"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A3A06">
        <w:trPr>
          <w:trHeight w:val="694"/>
        </w:trPr>
        <w:tc>
          <w:tcPr>
            <w:tcW w:w="250" w:type="pct"/>
            <w:vMerge/>
            <w:tcBorders>
              <w:left w:val="single" w:sz="6" w:space="0" w:color="auto"/>
              <w:bottom w:val="single" w:sz="4"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A3A06">
        <w:trPr>
          <w:trHeight w:val="694"/>
        </w:trPr>
        <w:tc>
          <w:tcPr>
            <w:tcW w:w="250" w:type="pct"/>
            <w:tcBorders>
              <w:top w:val="single" w:sz="4" w:space="0" w:color="auto"/>
              <w:left w:val="single" w:sz="4" w:space="0" w:color="auto"/>
              <w:bottom w:val="single" w:sz="4" w:space="0" w:color="auto"/>
              <w:right w:val="single" w:sz="4" w:space="0" w:color="auto"/>
            </w:tcBorders>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583" w:type="pct"/>
            <w:tcBorders>
              <w:top w:val="single" w:sz="4" w:space="0" w:color="auto"/>
              <w:left w:val="single" w:sz="4" w:space="0" w:color="auto"/>
              <w:bottom w:val="single" w:sz="4" w:space="0" w:color="auto"/>
              <w:right w:val="single" w:sz="4" w:space="0" w:color="auto"/>
            </w:tcBorders>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167"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829"/>
        <w:gridCol w:w="5285"/>
        <w:gridCol w:w="2269"/>
        <w:gridCol w:w="2125"/>
      </w:tblGrid>
      <w:tr w:rsidR="00B2187F" w:rsidTr="00AC62E2">
        <w:tc>
          <w:tcPr>
            <w:tcW w:w="248" w:type="pct"/>
            <w:shd w:val="clear" w:color="auto" w:fill="FFFF99"/>
            <w:vAlign w:val="center"/>
          </w:tcPr>
          <w:p w:rsidR="00B2187F" w:rsidRPr="00D51602" w:rsidRDefault="00B2187F"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75" w:type="pct"/>
            <w:shd w:val="clear" w:color="auto" w:fill="FFFF99"/>
            <w:vAlign w:val="center"/>
          </w:tcPr>
          <w:p w:rsidR="00B2187F" w:rsidRPr="00D51602" w:rsidRDefault="00B2187F" w:rsidP="00AC62E2">
            <w:pPr>
              <w:pStyle w:val="a8"/>
              <w:spacing w:line="240" w:lineRule="auto"/>
              <w:ind w:left="0"/>
              <w:jc w:val="center"/>
              <w:rPr>
                <w:b/>
                <w:sz w:val="16"/>
                <w:szCs w:val="16"/>
              </w:rPr>
            </w:pPr>
            <w:r>
              <w:rPr>
                <w:b/>
                <w:sz w:val="16"/>
                <w:szCs w:val="16"/>
              </w:rPr>
              <w:t>Сл. №</w:t>
            </w:r>
          </w:p>
        </w:tc>
        <w:tc>
          <w:tcPr>
            <w:tcW w:w="2390" w:type="pct"/>
            <w:shd w:val="clear" w:color="auto" w:fill="FFFF99"/>
            <w:vAlign w:val="center"/>
          </w:tcPr>
          <w:p w:rsidR="00B2187F" w:rsidRPr="00D51602" w:rsidRDefault="00B2187F" w:rsidP="00AC62E2">
            <w:pPr>
              <w:pStyle w:val="a8"/>
              <w:spacing w:line="240" w:lineRule="auto"/>
              <w:ind w:left="0"/>
              <w:jc w:val="center"/>
              <w:rPr>
                <w:b/>
                <w:sz w:val="16"/>
                <w:szCs w:val="16"/>
              </w:rPr>
            </w:pPr>
            <w:r w:rsidRPr="00D51602">
              <w:rPr>
                <w:b/>
                <w:sz w:val="16"/>
                <w:szCs w:val="16"/>
              </w:rPr>
              <w:t>Наименование лота</w:t>
            </w:r>
          </w:p>
        </w:tc>
        <w:tc>
          <w:tcPr>
            <w:tcW w:w="1026" w:type="pct"/>
            <w:shd w:val="clear" w:color="auto" w:fill="FFFF99"/>
            <w:vAlign w:val="center"/>
          </w:tcPr>
          <w:p w:rsidR="00B2187F" w:rsidRDefault="00B2187F"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961" w:type="pct"/>
            <w:shd w:val="clear" w:color="auto" w:fill="FFFF99"/>
            <w:vAlign w:val="center"/>
          </w:tcPr>
          <w:p w:rsidR="00B2187F" w:rsidRDefault="00B2187F"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B2187F" w:rsidRPr="00361B71" w:rsidTr="00AC62E2">
        <w:trPr>
          <w:trHeight w:val="128"/>
        </w:trPr>
        <w:tc>
          <w:tcPr>
            <w:tcW w:w="248" w:type="pct"/>
            <w:shd w:val="clear" w:color="auto" w:fill="FFFF99"/>
            <w:vAlign w:val="center"/>
          </w:tcPr>
          <w:p w:rsidR="00B2187F" w:rsidRPr="00361B71" w:rsidRDefault="00B2187F" w:rsidP="00B624A5">
            <w:pPr>
              <w:pStyle w:val="a8"/>
              <w:spacing w:line="240" w:lineRule="auto"/>
              <w:ind w:left="0"/>
              <w:jc w:val="center"/>
              <w:rPr>
                <w:b/>
                <w:sz w:val="16"/>
                <w:szCs w:val="16"/>
              </w:rPr>
            </w:pPr>
            <w:r w:rsidRPr="00361B71">
              <w:rPr>
                <w:b/>
                <w:sz w:val="16"/>
                <w:szCs w:val="16"/>
              </w:rPr>
              <w:t>1</w:t>
            </w:r>
          </w:p>
        </w:tc>
        <w:tc>
          <w:tcPr>
            <w:tcW w:w="375" w:type="pct"/>
            <w:shd w:val="clear" w:color="auto" w:fill="FFFF99"/>
            <w:vAlign w:val="center"/>
          </w:tcPr>
          <w:p w:rsidR="00B2187F" w:rsidRPr="00982FDB" w:rsidRDefault="00B2187F" w:rsidP="00B624A5">
            <w:pPr>
              <w:pStyle w:val="a8"/>
              <w:spacing w:line="240" w:lineRule="auto"/>
              <w:ind w:left="0"/>
              <w:jc w:val="center"/>
              <w:rPr>
                <w:b/>
                <w:sz w:val="16"/>
                <w:szCs w:val="16"/>
              </w:rPr>
            </w:pPr>
            <w:r w:rsidRPr="00982FDB">
              <w:rPr>
                <w:b/>
                <w:sz w:val="16"/>
                <w:szCs w:val="16"/>
              </w:rPr>
              <w:t>2</w:t>
            </w:r>
          </w:p>
        </w:tc>
        <w:tc>
          <w:tcPr>
            <w:tcW w:w="2390" w:type="pct"/>
            <w:shd w:val="clear" w:color="auto" w:fill="FFFF99"/>
            <w:vAlign w:val="center"/>
          </w:tcPr>
          <w:p w:rsidR="00B2187F" w:rsidRPr="00361B71" w:rsidRDefault="008E2495" w:rsidP="00B624A5">
            <w:pPr>
              <w:pStyle w:val="a8"/>
              <w:spacing w:line="240" w:lineRule="auto"/>
              <w:ind w:left="0"/>
              <w:jc w:val="center"/>
              <w:rPr>
                <w:b/>
                <w:sz w:val="16"/>
                <w:szCs w:val="16"/>
              </w:rPr>
            </w:pPr>
            <w:r>
              <w:rPr>
                <w:b/>
                <w:sz w:val="16"/>
                <w:szCs w:val="16"/>
              </w:rPr>
              <w:t>3</w:t>
            </w:r>
          </w:p>
        </w:tc>
        <w:tc>
          <w:tcPr>
            <w:tcW w:w="1026" w:type="pct"/>
            <w:shd w:val="clear" w:color="auto" w:fill="FFFF99"/>
          </w:tcPr>
          <w:p w:rsidR="00B2187F" w:rsidRPr="00361B71" w:rsidRDefault="008E2495" w:rsidP="00B624A5">
            <w:pPr>
              <w:pStyle w:val="a8"/>
              <w:spacing w:line="240" w:lineRule="auto"/>
              <w:ind w:left="0"/>
              <w:jc w:val="center"/>
              <w:rPr>
                <w:b/>
                <w:sz w:val="16"/>
                <w:szCs w:val="16"/>
              </w:rPr>
            </w:pPr>
            <w:r>
              <w:rPr>
                <w:b/>
                <w:sz w:val="16"/>
                <w:szCs w:val="16"/>
              </w:rPr>
              <w:t>4</w:t>
            </w:r>
          </w:p>
        </w:tc>
        <w:tc>
          <w:tcPr>
            <w:tcW w:w="961" w:type="pct"/>
            <w:shd w:val="clear" w:color="auto" w:fill="FFFF99"/>
          </w:tcPr>
          <w:p w:rsidR="00B2187F" w:rsidRPr="00361B71" w:rsidRDefault="008E2495" w:rsidP="00B624A5">
            <w:pPr>
              <w:pStyle w:val="a8"/>
              <w:spacing w:line="240" w:lineRule="auto"/>
              <w:ind w:left="0"/>
              <w:jc w:val="center"/>
              <w:rPr>
                <w:b/>
                <w:sz w:val="16"/>
                <w:szCs w:val="16"/>
              </w:rPr>
            </w:pPr>
            <w:r>
              <w:rPr>
                <w:b/>
                <w:sz w:val="16"/>
                <w:szCs w:val="16"/>
              </w:rPr>
              <w:t>5</w:t>
            </w:r>
          </w:p>
        </w:tc>
      </w:tr>
      <w:tr w:rsidR="006D23DC" w:rsidRPr="00A62485" w:rsidTr="00AC62E2">
        <w:trPr>
          <w:trHeight w:val="70"/>
        </w:trPr>
        <w:tc>
          <w:tcPr>
            <w:tcW w:w="248" w:type="pct"/>
            <w:shd w:val="clear" w:color="auto" w:fill="F2F2F2" w:themeFill="background1" w:themeFillShade="F2"/>
            <w:vAlign w:val="center"/>
          </w:tcPr>
          <w:p w:rsidR="006D23DC" w:rsidRDefault="006D23DC" w:rsidP="00B624A5">
            <w:pPr>
              <w:pStyle w:val="a8"/>
              <w:spacing w:line="240" w:lineRule="auto"/>
              <w:ind w:left="0"/>
              <w:jc w:val="center"/>
              <w:rPr>
                <w:sz w:val="20"/>
              </w:rPr>
            </w:pPr>
            <w:r>
              <w:rPr>
                <w:sz w:val="20"/>
              </w:rPr>
              <w:t>1</w:t>
            </w:r>
          </w:p>
        </w:tc>
        <w:tc>
          <w:tcPr>
            <w:tcW w:w="375" w:type="pct"/>
            <w:shd w:val="clear" w:color="auto" w:fill="F2F2F2" w:themeFill="background1" w:themeFillShade="F2"/>
            <w:vAlign w:val="center"/>
          </w:tcPr>
          <w:p w:rsidR="006D23DC" w:rsidRDefault="006D23DC" w:rsidP="00BF572A">
            <w:pPr>
              <w:pStyle w:val="a8"/>
              <w:spacing w:line="240" w:lineRule="auto"/>
              <w:ind w:left="0"/>
              <w:rPr>
                <w:sz w:val="20"/>
              </w:rPr>
            </w:pPr>
            <w:r>
              <w:rPr>
                <w:sz w:val="20"/>
              </w:rPr>
              <w:t xml:space="preserve">  </w:t>
            </w:r>
            <w:r w:rsidR="00BF572A">
              <w:rPr>
                <w:sz w:val="20"/>
              </w:rPr>
              <w:t>112</w:t>
            </w:r>
          </w:p>
        </w:tc>
        <w:tc>
          <w:tcPr>
            <w:tcW w:w="2390" w:type="pct"/>
            <w:shd w:val="clear" w:color="auto" w:fill="F2F2F2" w:themeFill="background1" w:themeFillShade="F2"/>
            <w:vAlign w:val="center"/>
          </w:tcPr>
          <w:p w:rsidR="006D23DC" w:rsidRDefault="006D23DC"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6D23DC" w:rsidRDefault="007C59CA" w:rsidP="00BF572A">
            <w:pPr>
              <w:rPr>
                <w:sz w:val="20"/>
                <w:szCs w:val="20"/>
              </w:rPr>
            </w:pPr>
            <w:r>
              <w:rPr>
                <w:sz w:val="20"/>
                <w:szCs w:val="20"/>
              </w:rPr>
              <w:t xml:space="preserve">Строительство </w:t>
            </w:r>
            <w:r w:rsidR="00BF572A">
              <w:rPr>
                <w:sz w:val="20"/>
                <w:szCs w:val="20"/>
              </w:rPr>
              <w:t>2</w:t>
            </w:r>
            <w:r w:rsidR="003E6091">
              <w:rPr>
                <w:sz w:val="20"/>
                <w:szCs w:val="20"/>
              </w:rPr>
              <w:t>БКТП-</w:t>
            </w:r>
            <w:r w:rsidR="00BF572A">
              <w:rPr>
                <w:sz w:val="20"/>
                <w:szCs w:val="20"/>
              </w:rPr>
              <w:t>10/0,4 кВ</w:t>
            </w:r>
            <w:r w:rsidR="003E6091">
              <w:rPr>
                <w:sz w:val="20"/>
                <w:szCs w:val="20"/>
              </w:rPr>
              <w:t xml:space="preserve"> в </w:t>
            </w:r>
            <w:r w:rsidR="00BF572A">
              <w:rPr>
                <w:sz w:val="20"/>
                <w:szCs w:val="20"/>
              </w:rPr>
              <w:t>мас. Мурино</w:t>
            </w:r>
            <w:r w:rsidR="003E6091">
              <w:rPr>
                <w:sz w:val="20"/>
                <w:szCs w:val="20"/>
              </w:rPr>
              <w:t xml:space="preserve"> Всеволожского</w:t>
            </w:r>
            <w:r>
              <w:rPr>
                <w:sz w:val="20"/>
                <w:szCs w:val="20"/>
              </w:rPr>
              <w:t xml:space="preserve"> ра</w:t>
            </w:r>
            <w:r w:rsidR="006D23DC">
              <w:rPr>
                <w:sz w:val="20"/>
                <w:szCs w:val="20"/>
              </w:rPr>
              <w:t>йона ЛО</w:t>
            </w:r>
          </w:p>
        </w:tc>
        <w:tc>
          <w:tcPr>
            <w:tcW w:w="1026" w:type="pct"/>
            <w:shd w:val="clear" w:color="auto" w:fill="F2F2F2" w:themeFill="background1" w:themeFillShade="F2"/>
            <w:vAlign w:val="center"/>
          </w:tcPr>
          <w:p w:rsidR="006D23DC" w:rsidRPr="00A62485" w:rsidRDefault="00BF572A" w:rsidP="00B056A4">
            <w:pPr>
              <w:jc w:val="center"/>
              <w:rPr>
                <w:color w:val="000000"/>
                <w:sz w:val="20"/>
                <w:szCs w:val="20"/>
              </w:rPr>
            </w:pPr>
            <w:r>
              <w:rPr>
                <w:color w:val="000000"/>
                <w:sz w:val="20"/>
                <w:szCs w:val="20"/>
              </w:rPr>
              <w:t>8 500</w:t>
            </w:r>
            <w:r w:rsidR="003E6091">
              <w:rPr>
                <w:color w:val="000000"/>
                <w:sz w:val="20"/>
                <w:szCs w:val="20"/>
              </w:rPr>
              <w:t xml:space="preserve"> 000</w:t>
            </w:r>
          </w:p>
        </w:tc>
        <w:tc>
          <w:tcPr>
            <w:tcW w:w="961" w:type="pct"/>
            <w:shd w:val="clear" w:color="auto" w:fill="F2F2F2" w:themeFill="background1" w:themeFillShade="F2"/>
            <w:vAlign w:val="center"/>
          </w:tcPr>
          <w:p w:rsidR="006D23DC" w:rsidRDefault="006D23DC" w:rsidP="006D23DC">
            <w:pPr>
              <w:jc w:val="center"/>
              <w:rPr>
                <w:color w:val="000000"/>
                <w:sz w:val="20"/>
                <w:szCs w:val="20"/>
              </w:rPr>
            </w:pPr>
            <w:r>
              <w:rPr>
                <w:color w:val="000000"/>
                <w:sz w:val="20"/>
                <w:szCs w:val="20"/>
              </w:rPr>
              <w:t>Не менее 36 (тридцати шести) месяцев</w:t>
            </w:r>
          </w:p>
        </w:tc>
      </w:tr>
      <w:tr w:rsidR="00BF572A" w:rsidRPr="00A62485" w:rsidTr="00AC62E2">
        <w:trPr>
          <w:trHeight w:val="70"/>
        </w:trPr>
        <w:tc>
          <w:tcPr>
            <w:tcW w:w="248" w:type="pct"/>
            <w:shd w:val="clear" w:color="auto" w:fill="F2F2F2" w:themeFill="background1" w:themeFillShade="F2"/>
            <w:vAlign w:val="center"/>
          </w:tcPr>
          <w:p w:rsidR="00BF572A" w:rsidRDefault="00BF572A" w:rsidP="00BF572A">
            <w:pPr>
              <w:pStyle w:val="a8"/>
              <w:spacing w:line="240" w:lineRule="auto"/>
              <w:ind w:left="0"/>
              <w:jc w:val="center"/>
              <w:rPr>
                <w:sz w:val="20"/>
              </w:rPr>
            </w:pPr>
            <w:r>
              <w:rPr>
                <w:sz w:val="20"/>
              </w:rPr>
              <w:t>2</w:t>
            </w:r>
          </w:p>
        </w:tc>
        <w:tc>
          <w:tcPr>
            <w:tcW w:w="375" w:type="pct"/>
            <w:shd w:val="clear" w:color="auto" w:fill="F2F2F2" w:themeFill="background1" w:themeFillShade="F2"/>
            <w:vAlign w:val="center"/>
          </w:tcPr>
          <w:p w:rsidR="00BF572A" w:rsidRDefault="00BF572A" w:rsidP="00BF572A">
            <w:pPr>
              <w:pStyle w:val="a8"/>
              <w:spacing w:line="240" w:lineRule="auto"/>
              <w:ind w:left="0"/>
              <w:jc w:val="center"/>
              <w:rPr>
                <w:sz w:val="20"/>
              </w:rPr>
            </w:pPr>
            <w:r>
              <w:rPr>
                <w:sz w:val="20"/>
              </w:rPr>
              <w:t>113</w:t>
            </w:r>
          </w:p>
        </w:tc>
        <w:tc>
          <w:tcPr>
            <w:tcW w:w="2390" w:type="pct"/>
            <w:shd w:val="clear" w:color="auto" w:fill="F2F2F2" w:themeFill="background1" w:themeFillShade="F2"/>
            <w:vAlign w:val="center"/>
          </w:tcPr>
          <w:p w:rsidR="00BF572A" w:rsidRDefault="00BF572A" w:rsidP="00BF572A">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BF572A" w:rsidRDefault="00BF572A" w:rsidP="00BF572A">
            <w:pPr>
              <w:rPr>
                <w:sz w:val="20"/>
                <w:szCs w:val="20"/>
              </w:rPr>
            </w:pPr>
            <w:r>
              <w:rPr>
                <w:sz w:val="20"/>
                <w:szCs w:val="20"/>
              </w:rPr>
              <w:t>Строительство 2БКТП-10/0,4 кВ в мас. Кудрово Всеволожского района ЛО</w:t>
            </w:r>
          </w:p>
        </w:tc>
        <w:tc>
          <w:tcPr>
            <w:tcW w:w="1026" w:type="pct"/>
            <w:shd w:val="clear" w:color="auto" w:fill="F2F2F2" w:themeFill="background1" w:themeFillShade="F2"/>
            <w:vAlign w:val="center"/>
          </w:tcPr>
          <w:p w:rsidR="00BF572A" w:rsidRDefault="00BF572A" w:rsidP="00BF572A">
            <w:pPr>
              <w:jc w:val="center"/>
              <w:rPr>
                <w:color w:val="000000"/>
                <w:sz w:val="20"/>
                <w:szCs w:val="20"/>
              </w:rPr>
            </w:pPr>
            <w:r>
              <w:rPr>
                <w:color w:val="000000"/>
                <w:sz w:val="20"/>
                <w:szCs w:val="20"/>
              </w:rPr>
              <w:t>9 000 000</w:t>
            </w:r>
          </w:p>
        </w:tc>
        <w:tc>
          <w:tcPr>
            <w:tcW w:w="961" w:type="pct"/>
            <w:shd w:val="clear" w:color="auto" w:fill="F2F2F2" w:themeFill="background1" w:themeFillShade="F2"/>
            <w:vAlign w:val="center"/>
          </w:tcPr>
          <w:p w:rsidR="00BF572A" w:rsidRDefault="00BF572A" w:rsidP="00BF572A">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4B517D" w:rsidRDefault="004B517D"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762"/>
        <w:gridCol w:w="5356"/>
        <w:gridCol w:w="2125"/>
        <w:gridCol w:w="2269"/>
      </w:tblGrid>
      <w:tr w:rsidR="00B2187F" w:rsidRPr="006F28BF" w:rsidTr="00AC62E2">
        <w:tc>
          <w:tcPr>
            <w:tcW w:w="246"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 лота</w:t>
            </w:r>
          </w:p>
        </w:tc>
        <w:tc>
          <w:tcPr>
            <w:tcW w:w="345"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Сл. №</w:t>
            </w:r>
          </w:p>
        </w:tc>
        <w:tc>
          <w:tcPr>
            <w:tcW w:w="2422"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961" w:type="pct"/>
            <w:shd w:val="clear" w:color="auto" w:fill="FFFF99"/>
          </w:tcPr>
          <w:p w:rsidR="00B2187F" w:rsidRDefault="00B2187F"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1026" w:type="pct"/>
            <w:shd w:val="clear" w:color="auto" w:fill="FFFF99"/>
          </w:tcPr>
          <w:p w:rsidR="00B2187F" w:rsidRDefault="00B2187F"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B2187F" w:rsidRPr="006F28BF" w:rsidTr="00AC62E2">
        <w:trPr>
          <w:trHeight w:val="128"/>
        </w:trPr>
        <w:tc>
          <w:tcPr>
            <w:tcW w:w="246"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1</w:t>
            </w:r>
          </w:p>
        </w:tc>
        <w:tc>
          <w:tcPr>
            <w:tcW w:w="345" w:type="pct"/>
            <w:shd w:val="clear" w:color="auto" w:fill="FFFF99"/>
            <w:vAlign w:val="center"/>
          </w:tcPr>
          <w:p w:rsidR="00B2187F" w:rsidRPr="00AC62E2" w:rsidRDefault="00B2187F" w:rsidP="00982FDB">
            <w:pPr>
              <w:pStyle w:val="a8"/>
              <w:spacing w:line="240" w:lineRule="auto"/>
              <w:ind w:left="0"/>
              <w:jc w:val="center"/>
              <w:rPr>
                <w:b/>
                <w:color w:val="000000"/>
                <w:sz w:val="16"/>
                <w:szCs w:val="16"/>
              </w:rPr>
            </w:pPr>
            <w:r w:rsidRPr="00AC62E2">
              <w:rPr>
                <w:b/>
                <w:color w:val="000000"/>
                <w:sz w:val="16"/>
                <w:szCs w:val="16"/>
              </w:rPr>
              <w:t>2</w:t>
            </w:r>
          </w:p>
        </w:tc>
        <w:tc>
          <w:tcPr>
            <w:tcW w:w="2422" w:type="pct"/>
            <w:shd w:val="clear" w:color="auto" w:fill="FFFF99"/>
            <w:vAlign w:val="center"/>
          </w:tcPr>
          <w:p w:rsidR="00B2187F" w:rsidRPr="00AC62E2" w:rsidRDefault="008E2495" w:rsidP="00982FDB">
            <w:pPr>
              <w:pStyle w:val="a8"/>
              <w:spacing w:line="240" w:lineRule="auto"/>
              <w:ind w:left="0"/>
              <w:jc w:val="center"/>
              <w:rPr>
                <w:b/>
                <w:color w:val="000000"/>
                <w:sz w:val="16"/>
                <w:szCs w:val="16"/>
              </w:rPr>
            </w:pPr>
            <w:r w:rsidRPr="00AC62E2">
              <w:rPr>
                <w:b/>
                <w:color w:val="000000"/>
                <w:sz w:val="16"/>
                <w:szCs w:val="16"/>
              </w:rPr>
              <w:t>3</w:t>
            </w:r>
          </w:p>
        </w:tc>
        <w:tc>
          <w:tcPr>
            <w:tcW w:w="961" w:type="pct"/>
            <w:shd w:val="clear" w:color="auto" w:fill="FFFF99"/>
          </w:tcPr>
          <w:p w:rsidR="00B2187F" w:rsidRPr="00AC62E2" w:rsidRDefault="008E2495" w:rsidP="00982FDB">
            <w:pPr>
              <w:pStyle w:val="a8"/>
              <w:spacing w:line="240" w:lineRule="auto"/>
              <w:ind w:left="0"/>
              <w:jc w:val="center"/>
              <w:rPr>
                <w:b/>
                <w:color w:val="000000"/>
                <w:sz w:val="16"/>
                <w:szCs w:val="16"/>
              </w:rPr>
            </w:pPr>
            <w:r w:rsidRPr="00AC62E2">
              <w:rPr>
                <w:b/>
                <w:color w:val="000000"/>
                <w:sz w:val="16"/>
                <w:szCs w:val="16"/>
              </w:rPr>
              <w:t>4</w:t>
            </w:r>
          </w:p>
        </w:tc>
        <w:tc>
          <w:tcPr>
            <w:tcW w:w="1026" w:type="pct"/>
            <w:shd w:val="clear" w:color="auto" w:fill="FFFF99"/>
          </w:tcPr>
          <w:p w:rsidR="00B2187F" w:rsidRPr="00AC62E2" w:rsidRDefault="008E2495" w:rsidP="00982FDB">
            <w:pPr>
              <w:pStyle w:val="a8"/>
              <w:spacing w:line="240" w:lineRule="auto"/>
              <w:ind w:left="0"/>
              <w:jc w:val="center"/>
              <w:rPr>
                <w:b/>
                <w:color w:val="000000"/>
                <w:sz w:val="16"/>
                <w:szCs w:val="16"/>
              </w:rPr>
            </w:pPr>
            <w:r w:rsidRPr="00AC62E2">
              <w:rPr>
                <w:b/>
                <w:color w:val="000000"/>
                <w:sz w:val="16"/>
                <w:szCs w:val="16"/>
              </w:rPr>
              <w:t>5</w:t>
            </w:r>
          </w:p>
        </w:tc>
      </w:tr>
      <w:tr w:rsidR="00BF572A" w:rsidTr="00AC62E2">
        <w:trPr>
          <w:trHeight w:val="470"/>
        </w:trPr>
        <w:tc>
          <w:tcPr>
            <w:tcW w:w="246" w:type="pct"/>
            <w:shd w:val="clear" w:color="auto" w:fill="F2F2F2" w:themeFill="background1" w:themeFillShade="F2"/>
            <w:vAlign w:val="center"/>
          </w:tcPr>
          <w:p w:rsidR="00BF572A" w:rsidRDefault="00BF572A" w:rsidP="00BF572A">
            <w:pPr>
              <w:pStyle w:val="a8"/>
              <w:spacing w:line="240" w:lineRule="auto"/>
              <w:ind w:left="0"/>
              <w:jc w:val="center"/>
              <w:rPr>
                <w:sz w:val="20"/>
              </w:rPr>
            </w:pPr>
            <w:r>
              <w:rPr>
                <w:sz w:val="20"/>
              </w:rPr>
              <w:t>1</w:t>
            </w:r>
          </w:p>
        </w:tc>
        <w:tc>
          <w:tcPr>
            <w:tcW w:w="345" w:type="pct"/>
            <w:shd w:val="clear" w:color="auto" w:fill="F2F2F2" w:themeFill="background1" w:themeFillShade="F2"/>
            <w:vAlign w:val="center"/>
          </w:tcPr>
          <w:p w:rsidR="00BF572A" w:rsidRDefault="00BF572A" w:rsidP="00BF572A">
            <w:pPr>
              <w:pStyle w:val="a8"/>
              <w:spacing w:line="240" w:lineRule="auto"/>
              <w:ind w:left="0"/>
              <w:rPr>
                <w:sz w:val="20"/>
              </w:rPr>
            </w:pPr>
            <w:r>
              <w:rPr>
                <w:sz w:val="20"/>
              </w:rPr>
              <w:t xml:space="preserve">  112</w:t>
            </w:r>
          </w:p>
        </w:tc>
        <w:tc>
          <w:tcPr>
            <w:tcW w:w="2422" w:type="pct"/>
            <w:shd w:val="clear" w:color="auto" w:fill="F2F2F2" w:themeFill="background1" w:themeFillShade="F2"/>
            <w:vAlign w:val="center"/>
          </w:tcPr>
          <w:p w:rsidR="00BF572A" w:rsidRDefault="00BF572A" w:rsidP="00BF572A">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BF572A" w:rsidRDefault="00BF572A" w:rsidP="00BF572A">
            <w:pPr>
              <w:rPr>
                <w:sz w:val="20"/>
                <w:szCs w:val="20"/>
              </w:rPr>
            </w:pPr>
            <w:r>
              <w:rPr>
                <w:sz w:val="20"/>
                <w:szCs w:val="20"/>
              </w:rPr>
              <w:t>Строительство 2БКТП-10/0,4 кВ в мас. Мурино Всеволожского района ЛО</w:t>
            </w:r>
          </w:p>
        </w:tc>
        <w:tc>
          <w:tcPr>
            <w:tcW w:w="961" w:type="pct"/>
            <w:shd w:val="clear" w:color="auto" w:fill="F2F2F2" w:themeFill="background1" w:themeFillShade="F2"/>
          </w:tcPr>
          <w:p w:rsidR="00BF572A" w:rsidRDefault="00BF572A" w:rsidP="00BF572A">
            <w:pPr>
              <w:jc w:val="center"/>
              <w:rPr>
                <w:color w:val="000000"/>
                <w:sz w:val="20"/>
                <w:szCs w:val="20"/>
              </w:rPr>
            </w:pPr>
          </w:p>
          <w:p w:rsidR="00BF572A" w:rsidRPr="00A62485" w:rsidRDefault="00BF572A" w:rsidP="00BF572A">
            <w:pPr>
              <w:jc w:val="center"/>
              <w:rPr>
                <w:color w:val="000000"/>
                <w:sz w:val="20"/>
                <w:szCs w:val="20"/>
              </w:rPr>
            </w:pPr>
          </w:p>
        </w:tc>
        <w:tc>
          <w:tcPr>
            <w:tcW w:w="1026" w:type="pct"/>
            <w:shd w:val="clear" w:color="auto" w:fill="F2F2F2" w:themeFill="background1" w:themeFillShade="F2"/>
          </w:tcPr>
          <w:p w:rsidR="00BF572A" w:rsidRDefault="00BF572A" w:rsidP="00BF572A">
            <w:pPr>
              <w:jc w:val="center"/>
              <w:rPr>
                <w:color w:val="000000"/>
                <w:sz w:val="20"/>
                <w:szCs w:val="20"/>
              </w:rPr>
            </w:pPr>
          </w:p>
        </w:tc>
      </w:tr>
      <w:tr w:rsidR="00BF572A" w:rsidTr="00AC62E2">
        <w:trPr>
          <w:trHeight w:val="470"/>
        </w:trPr>
        <w:tc>
          <w:tcPr>
            <w:tcW w:w="246" w:type="pct"/>
            <w:shd w:val="clear" w:color="auto" w:fill="F2F2F2" w:themeFill="background1" w:themeFillShade="F2"/>
            <w:vAlign w:val="center"/>
          </w:tcPr>
          <w:p w:rsidR="00BF572A" w:rsidRDefault="00BF572A" w:rsidP="00BF572A">
            <w:pPr>
              <w:pStyle w:val="a8"/>
              <w:spacing w:line="240" w:lineRule="auto"/>
              <w:ind w:left="0"/>
              <w:jc w:val="center"/>
              <w:rPr>
                <w:sz w:val="20"/>
              </w:rPr>
            </w:pPr>
            <w:r>
              <w:rPr>
                <w:sz w:val="20"/>
              </w:rPr>
              <w:t>2</w:t>
            </w:r>
          </w:p>
        </w:tc>
        <w:tc>
          <w:tcPr>
            <w:tcW w:w="345" w:type="pct"/>
            <w:shd w:val="clear" w:color="auto" w:fill="F2F2F2" w:themeFill="background1" w:themeFillShade="F2"/>
            <w:vAlign w:val="center"/>
          </w:tcPr>
          <w:p w:rsidR="00BF572A" w:rsidRDefault="00BF572A" w:rsidP="00BF572A">
            <w:pPr>
              <w:pStyle w:val="a8"/>
              <w:spacing w:line="240" w:lineRule="auto"/>
              <w:ind w:left="0"/>
              <w:jc w:val="center"/>
              <w:rPr>
                <w:sz w:val="20"/>
              </w:rPr>
            </w:pPr>
            <w:r>
              <w:rPr>
                <w:sz w:val="20"/>
              </w:rPr>
              <w:t>113</w:t>
            </w:r>
          </w:p>
        </w:tc>
        <w:tc>
          <w:tcPr>
            <w:tcW w:w="2422" w:type="pct"/>
            <w:shd w:val="clear" w:color="auto" w:fill="F2F2F2" w:themeFill="background1" w:themeFillShade="F2"/>
            <w:vAlign w:val="center"/>
          </w:tcPr>
          <w:p w:rsidR="00BF572A" w:rsidRDefault="00BF572A" w:rsidP="00BF572A">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BF572A" w:rsidRDefault="00BF572A" w:rsidP="00BF572A">
            <w:pPr>
              <w:rPr>
                <w:sz w:val="20"/>
                <w:szCs w:val="20"/>
              </w:rPr>
            </w:pPr>
            <w:r>
              <w:rPr>
                <w:sz w:val="20"/>
                <w:szCs w:val="20"/>
              </w:rPr>
              <w:t>Строительство 2БКТП-10/0,4 кВ в мас. Кудрово Всеволожского района ЛО</w:t>
            </w:r>
          </w:p>
        </w:tc>
        <w:tc>
          <w:tcPr>
            <w:tcW w:w="961" w:type="pct"/>
            <w:shd w:val="clear" w:color="auto" w:fill="F2F2F2" w:themeFill="background1" w:themeFillShade="F2"/>
          </w:tcPr>
          <w:p w:rsidR="00BF572A" w:rsidRDefault="00BF572A" w:rsidP="00BF572A">
            <w:pPr>
              <w:jc w:val="center"/>
              <w:rPr>
                <w:color w:val="000000"/>
                <w:sz w:val="20"/>
                <w:szCs w:val="20"/>
              </w:rPr>
            </w:pPr>
          </w:p>
        </w:tc>
        <w:tc>
          <w:tcPr>
            <w:tcW w:w="1026" w:type="pct"/>
            <w:shd w:val="clear" w:color="auto" w:fill="F2F2F2" w:themeFill="background1" w:themeFillShade="F2"/>
          </w:tcPr>
          <w:p w:rsidR="00BF572A" w:rsidRDefault="00BF572A" w:rsidP="00BF572A">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A55265">
        <w:trPr>
          <w:trHeight w:val="615"/>
        </w:trPr>
        <w:tc>
          <w:tcPr>
            <w:tcW w:w="4231" w:type="pct"/>
            <w:gridSpan w:val="6"/>
            <w:shd w:val="clear" w:color="auto" w:fill="F2F2F2"/>
            <w:vAlign w:val="center"/>
          </w:tcPr>
          <w:p w:rsidR="00AE7586" w:rsidRDefault="00AE7586" w:rsidP="00952BC3">
            <w:pPr>
              <w:rPr>
                <w:sz w:val="20"/>
                <w:szCs w:val="20"/>
              </w:rPr>
            </w:pPr>
            <w:r>
              <w:rPr>
                <w:sz w:val="20"/>
                <w:szCs w:val="20"/>
              </w:rPr>
              <w:t xml:space="preserve">Наличие </w:t>
            </w:r>
            <w:r w:rsidR="00FE3070">
              <w:rPr>
                <w:sz w:val="20"/>
                <w:szCs w:val="20"/>
              </w:rPr>
              <w:t xml:space="preserve">положительной </w:t>
            </w:r>
            <w:r>
              <w:rPr>
                <w:sz w:val="20"/>
                <w:szCs w:val="20"/>
              </w:rPr>
              <w:t>репутации, связанной с выполнением аналогичных поставок</w:t>
            </w:r>
            <w:r w:rsidR="00FE3070">
              <w:rPr>
                <w:sz w:val="20"/>
                <w:szCs w:val="20"/>
              </w:rPr>
              <w:t>.</w:t>
            </w:r>
          </w:p>
          <w:p w:rsidR="00FE3070" w:rsidRDefault="00FE3070" w:rsidP="00982FDB">
            <w:pPr>
              <w:rPr>
                <w:color w:val="000000"/>
                <w:sz w:val="20"/>
                <w:szCs w:val="20"/>
              </w:rPr>
            </w:pPr>
            <w:r>
              <w:rPr>
                <w:sz w:val="20"/>
                <w:szCs w:val="20"/>
              </w:rPr>
              <w:t>Претендент представляет справку в свободной форме о наличии опыта аналогичных поставок с АО «ЛОЭСК», а в случае отсутствия договорных отношений с АО «ЛОЭСК» – предоставляет рекомендации, в количестве не менее 5, от заказчиков Претендента.</w:t>
            </w:r>
          </w:p>
        </w:tc>
        <w:tc>
          <w:tcPr>
            <w:tcW w:w="769" w:type="pct"/>
            <w:gridSpan w:val="3"/>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FFB" w:rsidRDefault="00850FFB" w:rsidP="001603FF">
      <w:r>
        <w:separator/>
      </w:r>
    </w:p>
  </w:endnote>
  <w:endnote w:type="continuationSeparator" w:id="0">
    <w:p w:rsidR="00850FFB" w:rsidRDefault="00850FFB"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FB" w:rsidRDefault="00850FFB"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850FFB" w:rsidRDefault="00850FF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FB" w:rsidRDefault="00850FFB"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FFB" w:rsidRDefault="00850FFB" w:rsidP="001603FF">
      <w:r>
        <w:separator/>
      </w:r>
    </w:p>
  </w:footnote>
  <w:footnote w:type="continuationSeparator" w:id="0">
    <w:p w:rsidR="00850FFB" w:rsidRDefault="00850FFB"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5BD9"/>
    <w:rsid w:val="00492306"/>
    <w:rsid w:val="00496169"/>
    <w:rsid w:val="004A243B"/>
    <w:rsid w:val="004A2A53"/>
    <w:rsid w:val="004A4847"/>
    <w:rsid w:val="004A7649"/>
    <w:rsid w:val="004A7F45"/>
    <w:rsid w:val="004B517D"/>
    <w:rsid w:val="004C1365"/>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5BCD"/>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98A04-06C5-4E96-BA2B-AAFD5D9A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18</Pages>
  <Words>9118</Words>
  <Characters>51979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Кравченко Екатерина Сергеевна</cp:lastModifiedBy>
  <cp:revision>771</cp:revision>
  <cp:lastPrinted>2018-01-15T08:12:00Z</cp:lastPrinted>
  <dcterms:created xsi:type="dcterms:W3CDTF">2013-03-14T11:36:00Z</dcterms:created>
  <dcterms:modified xsi:type="dcterms:W3CDTF">2018-01-30T07:35:00Z</dcterms:modified>
</cp:coreProperties>
</file>