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E4" w:rsidRPr="00F937FE" w:rsidRDefault="005A46AD" w:rsidP="00E871E4">
      <w:pPr>
        <w:tabs>
          <w:tab w:val="num" w:pos="1418"/>
        </w:tabs>
        <w:ind w:firstLine="567"/>
        <w:jc w:val="right"/>
        <w:rPr>
          <w:bCs/>
          <w:iCs/>
        </w:rPr>
      </w:pPr>
      <w:r>
        <w:rPr>
          <w:bCs/>
          <w:iCs/>
        </w:rPr>
        <w:t>Форма № 4.1</w:t>
      </w:r>
      <w:bookmarkStart w:id="0" w:name="_GoBack"/>
      <w:bookmarkEnd w:id="0"/>
    </w:p>
    <w:p w:rsidR="00CC4D98" w:rsidRPr="00F937FE" w:rsidRDefault="00CC4D98" w:rsidP="003044A8">
      <w:pPr>
        <w:jc w:val="center"/>
        <w:outlineLvl w:val="0"/>
        <w:rPr>
          <w:b/>
        </w:rPr>
      </w:pPr>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w:t>
      </w:r>
      <w:r w:rsidRPr="00F937FE">
        <w:lastRenderedPageBreak/>
        <w:t>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 xml:space="preserve">Обеспечить осуществление технического надзора за производством Работ и участвовать </w:t>
      </w:r>
      <w:r w:rsidRPr="00F937FE">
        <w:lastRenderedPageBreak/>
        <w:t>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 xml:space="preserve">За свой счет устранить указанные Заказчиком недостатки Проектно-сметной </w:t>
      </w:r>
      <w:r w:rsidRPr="00F937FE">
        <w:lastRenderedPageBreak/>
        <w:t>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5A46AD"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5A46AD"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D" w:rsidRDefault="0031647D" w:rsidP="0076416A">
      <w:r>
        <w:separator/>
      </w:r>
    </w:p>
  </w:endnote>
  <w:endnote w:type="continuationSeparator" w:id="0">
    <w:p w:rsidR="0031647D" w:rsidRDefault="0031647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5A46AD">
          <w:rPr>
            <w:noProof/>
          </w:rPr>
          <w:t>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D" w:rsidRDefault="0031647D" w:rsidP="0076416A">
      <w:r>
        <w:separator/>
      </w:r>
    </w:p>
  </w:footnote>
  <w:footnote w:type="continuationSeparator" w:id="0">
    <w:p w:rsidR="0031647D" w:rsidRDefault="0031647D"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6AD"/>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AFD"/>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D71FA-5C97-406E-B637-AE4236E0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8202-7E68-4F7B-BC77-CF3061DF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23463</Words>
  <Characters>133741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3</cp:revision>
  <cp:lastPrinted>2016-12-13T10:06:00Z</cp:lastPrinted>
  <dcterms:created xsi:type="dcterms:W3CDTF">2017-03-16T14:08:00Z</dcterms:created>
  <dcterms:modified xsi:type="dcterms:W3CDTF">2017-09-27T13:03:00Z</dcterms:modified>
</cp:coreProperties>
</file>