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335441" w:rsidP="00623C96">
      <w:pPr>
        <w:pStyle w:val="ConsPlusNormal"/>
        <w:ind w:firstLine="567"/>
        <w:jc w:val="right"/>
        <w:rPr>
          <w:rFonts w:ascii="Times New Roman" w:hAnsi="Times New Roman" w:cs="Times New Roman"/>
          <w:sz w:val="20"/>
        </w:rPr>
      </w:pPr>
      <w:r>
        <w:rPr>
          <w:rFonts w:ascii="Times New Roman" w:hAnsi="Times New Roman" w:cs="Times New Roman"/>
          <w:sz w:val="20"/>
        </w:rPr>
        <w:t>Форма договора</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B24566">
        <w:rPr>
          <w:rFonts w:ascii="Times New Roman" w:hAnsi="Times New Roman" w:cs="Times New Roman"/>
          <w:sz w:val="24"/>
          <w:szCs w:val="24"/>
        </w:rPr>
        <w:t>«31</w:t>
      </w:r>
      <w:r w:rsidR="000252A6">
        <w:rPr>
          <w:rFonts w:ascii="Times New Roman" w:hAnsi="Times New Roman" w:cs="Times New Roman"/>
          <w:sz w:val="24"/>
          <w:szCs w:val="24"/>
        </w:rPr>
        <w:t xml:space="preserve">» </w:t>
      </w:r>
      <w:r w:rsidR="00B24566">
        <w:rPr>
          <w:rFonts w:ascii="Times New Roman" w:hAnsi="Times New Roman" w:cs="Times New Roman"/>
          <w:sz w:val="24"/>
          <w:szCs w:val="24"/>
        </w:rPr>
        <w:t>декабря 2018 г.</w:t>
      </w:r>
      <w:bookmarkStart w:id="0" w:name="_GoBack"/>
      <w:bookmarkEnd w:id="0"/>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720E1C">
        <w:t xml:space="preserve">30 (тридцати) </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35441"/>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4566"/>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D0E15"/>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1201"/>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6BD3-2E1A-4A32-A986-F8F10AC0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5</cp:revision>
  <cp:lastPrinted>2017-02-13T12:16:00Z</cp:lastPrinted>
  <dcterms:created xsi:type="dcterms:W3CDTF">2017-02-17T07:23:00Z</dcterms:created>
  <dcterms:modified xsi:type="dcterms:W3CDTF">2017-10-25T07:33:00Z</dcterms:modified>
</cp:coreProperties>
</file>