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A8" w:rsidRPr="00F937FE" w:rsidRDefault="003044A8" w:rsidP="003044A8">
      <w:pPr>
        <w:jc w:val="center"/>
        <w:outlineLvl w:val="0"/>
        <w:rPr>
          <w:b/>
          <w:noProof/>
        </w:rPr>
      </w:pPr>
      <w:bookmarkStart w:id="0" w:name="_GoBack"/>
      <w:bookmarkEnd w:id="0"/>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xml:space="preserve">, органов местного самоуправления, уполномоченных контролировать, согласовывать, выдавать разрешения, допуски </w:t>
      </w:r>
      <w:r w:rsidRPr="00F937FE">
        <w:lastRenderedPageBreak/>
        <w:t>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lastRenderedPageBreak/>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lastRenderedPageBreak/>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lastRenderedPageBreak/>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lastRenderedPageBreak/>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w:t>
      </w:r>
      <w:r w:rsidR="006E334A" w:rsidRPr="00F937FE">
        <w:rPr>
          <w:rFonts w:ascii="Times New Roman CYR" w:hAnsi="Times New Roman CYR" w:cs="Times New Roman CYR"/>
          <w:szCs w:val="22"/>
        </w:rPr>
        <w:lastRenderedPageBreak/>
        <w:t xml:space="preserve">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w:t>
      </w:r>
      <w:r w:rsidRPr="00F937FE">
        <w:lastRenderedPageBreak/>
        <w:t xml:space="preserve">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w:t>
      </w:r>
      <w:r w:rsidRPr="00F937FE">
        <w:lastRenderedPageBreak/>
        <w:t>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Pr="00F937FE">
        <w:lastRenderedPageBreak/>
        <w:t>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 xml:space="preserve">на </w:t>
      </w:r>
      <w:r w:rsidRPr="00F937FE">
        <w:lastRenderedPageBreak/>
        <w:t>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w:t>
      </w:r>
      <w:r w:rsidRPr="00F937FE">
        <w:lastRenderedPageBreak/>
        <w:t xml:space="preserve">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lastRenderedPageBreak/>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 xml:space="preserve">За нарушение Подрядчиком сроков выполнения работ (этапа работ), установленных </w:t>
      </w:r>
      <w:r w:rsidRPr="00F937FE">
        <w:lastRenderedPageBreak/>
        <w:t>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 xml:space="preserve">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w:t>
      </w:r>
      <w:r w:rsidRPr="00F937FE">
        <w:lastRenderedPageBreak/>
        <w:t>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w:t>
      </w:r>
      <w:r w:rsidR="00E339E9" w:rsidRPr="000128EA">
        <w:lastRenderedPageBreak/>
        <w:t>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lastRenderedPageBreak/>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lastRenderedPageBreak/>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lastRenderedPageBreak/>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lastRenderedPageBreak/>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lastRenderedPageBreak/>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i/>
        </w:rPr>
        <w:lastRenderedPageBreak/>
        <w:t>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lastRenderedPageBreak/>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lastRenderedPageBreak/>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E353F1"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lastRenderedPageBreak/>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lastRenderedPageBreak/>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w:t>
      </w:r>
      <w:r w:rsidRPr="00F937F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lastRenderedPageBreak/>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E353F1"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2C" w:rsidRDefault="007C5B2C" w:rsidP="0076416A">
      <w:r>
        <w:separator/>
      </w:r>
    </w:p>
  </w:endnote>
  <w:endnote w:type="continuationSeparator" w:id="0">
    <w:p w:rsidR="007C5B2C" w:rsidRDefault="007C5B2C"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E353F1">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2C" w:rsidRDefault="007C5B2C" w:rsidP="0076416A">
      <w:r>
        <w:separator/>
      </w:r>
    </w:p>
  </w:footnote>
  <w:footnote w:type="continuationSeparator" w:id="0">
    <w:p w:rsidR="007C5B2C" w:rsidRDefault="007C5B2C"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8F6E1-53AA-447E-B35D-3997C61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67A2-8622-43E7-8E34-43F0FDD9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23461</Words>
  <Characters>133730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Кравченко Екатерина Сергеевна</cp:lastModifiedBy>
  <cp:revision>3</cp:revision>
  <cp:lastPrinted>2016-12-13T10:06:00Z</cp:lastPrinted>
  <dcterms:created xsi:type="dcterms:W3CDTF">2017-01-10T11:23:00Z</dcterms:created>
  <dcterms:modified xsi:type="dcterms:W3CDTF">2017-01-10T13:47:00Z</dcterms:modified>
</cp:coreProperties>
</file>