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C57A58" w:rsidP="00406D8D">
      <w:pPr>
        <w:ind w:firstLine="6120"/>
        <w:jc w:val="right"/>
      </w:pPr>
      <w:r>
        <w:t xml:space="preserve">«___»_________2017 г. </w:t>
      </w: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заключения договор</w:t>
      </w:r>
      <w:r w:rsidR="00110E98" w:rsidRPr="0039435F">
        <w:rPr>
          <w:sz w:val="24"/>
          <w:szCs w:val="24"/>
        </w:rPr>
        <w:t>а</w:t>
      </w:r>
      <w:r w:rsidR="00AB5CB0" w:rsidRPr="0039435F">
        <w:rPr>
          <w:sz w:val="24"/>
          <w:szCs w:val="24"/>
        </w:rPr>
        <w:t xml:space="preserve"> </w:t>
      </w:r>
    </w:p>
    <w:p w:rsidR="00100D6E" w:rsidRDefault="00AB5CB0" w:rsidP="00100D6E">
      <w:pPr>
        <w:jc w:val="center"/>
        <w:rPr>
          <w:b/>
        </w:rPr>
      </w:pPr>
      <w:r w:rsidRPr="0039435F">
        <w:rPr>
          <w:b/>
        </w:rPr>
        <w:t>об открытии</w:t>
      </w:r>
      <w:r w:rsidR="00E87C3A" w:rsidRPr="0039435F">
        <w:rPr>
          <w:b/>
        </w:rPr>
        <w:t xml:space="preserve"> </w:t>
      </w:r>
      <w:proofErr w:type="spellStart"/>
      <w:r w:rsidR="00110E98" w:rsidRPr="0039435F">
        <w:rPr>
          <w:b/>
        </w:rPr>
        <w:t>невозобновляемой</w:t>
      </w:r>
      <w:proofErr w:type="spellEnd"/>
      <w:r w:rsidR="00110E98" w:rsidRPr="0039435F">
        <w:rPr>
          <w:b/>
        </w:rPr>
        <w:t xml:space="preserve"> </w:t>
      </w:r>
      <w:r w:rsidRPr="0039435F">
        <w:rPr>
          <w:b/>
        </w:rPr>
        <w:t>кредитной линии</w:t>
      </w:r>
      <w:r w:rsidR="002B6794" w:rsidRPr="0039435F">
        <w:rPr>
          <w:b/>
        </w:rPr>
        <w:t xml:space="preserve"> </w:t>
      </w:r>
    </w:p>
    <w:p w:rsidR="002964E9"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D53C5E" w:rsidRDefault="00C828D3" w:rsidP="00F2543B">
      <w:pPr>
        <w:widowControl w:val="0"/>
        <w:autoSpaceDE w:val="0"/>
        <w:autoSpaceDN w:val="0"/>
        <w:adjustRightInd w:val="0"/>
        <w:ind w:firstLine="540"/>
        <w:jc w:val="both"/>
      </w:pPr>
      <w:r>
        <w:rPr>
          <w:rFonts w:ascii="Times New Roman CYR" w:hAnsi="Times New Roman CYR" w:cs="Times New Roman CYR"/>
        </w:rPr>
        <w:t xml:space="preserve">1.1. </w:t>
      </w:r>
      <w:r w:rsidRPr="007D7146">
        <w:rPr>
          <w:rFonts w:ascii="Times New Roman CYR" w:hAnsi="Times New Roman CYR" w:cs="Times New Roman CYR"/>
        </w:rPr>
        <w:t xml:space="preserve">Предметом </w:t>
      </w:r>
      <w:r w:rsidRPr="00394087">
        <w:rPr>
          <w:rFonts w:ascii="Times New Roman CYR" w:hAnsi="Times New Roman CYR" w:cs="Times New Roman CYR"/>
        </w:rPr>
        <w:t xml:space="preserve">открытого запроса предложений является право на заключение </w:t>
      </w:r>
      <w:r w:rsidRPr="00394087">
        <w:t xml:space="preserve">договора об открытии </w:t>
      </w:r>
      <w:proofErr w:type="spellStart"/>
      <w:r w:rsidRPr="00394087">
        <w:t>невозобновляемой</w:t>
      </w:r>
      <w:proofErr w:type="spellEnd"/>
      <w:r w:rsidRPr="00394087">
        <w:rPr>
          <w:b/>
        </w:rPr>
        <w:t xml:space="preserve"> </w:t>
      </w:r>
      <w:r w:rsidRPr="00394087">
        <w:t xml:space="preserve">кредитной линии с лимитом </w:t>
      </w:r>
      <w:r w:rsidR="00F2543B" w:rsidRPr="00394087">
        <w:t xml:space="preserve">кредитования </w:t>
      </w:r>
      <w:r w:rsidR="00F2543B">
        <w:t xml:space="preserve">1 </w:t>
      </w:r>
      <w:r w:rsidR="00EE6E51">
        <w:t>4</w:t>
      </w:r>
      <w:r w:rsidRPr="00394087">
        <w:t xml:space="preserve">00 000 000 </w:t>
      </w:r>
      <w:r w:rsidR="002B3F4B" w:rsidRPr="00394087">
        <w:t xml:space="preserve">рублей </w:t>
      </w:r>
      <w:r w:rsidR="00F2543B" w:rsidRPr="00D53C5E">
        <w:t>для</w:t>
      </w:r>
      <w:r w:rsidRPr="00D53C5E">
        <w:t xml:space="preserve"> цел</w:t>
      </w:r>
      <w:r w:rsidR="00F2543B" w:rsidRPr="00D53C5E">
        <w:t>ей</w:t>
      </w:r>
      <w:r w:rsidRPr="00D53C5E">
        <w:t xml:space="preserve"> </w:t>
      </w:r>
      <w:r w:rsidR="00EE6E51" w:rsidRPr="00D53C5E">
        <w:rPr>
          <w:iCs/>
        </w:rPr>
        <w:t xml:space="preserve">финансирования инвестиционной, хозяйственной деятельности, покупки основных средств, в том числе движимого и недвижимого имущества, покупки земельных участков, деятельности по технологическому присоединению </w:t>
      </w:r>
      <w:proofErr w:type="spellStart"/>
      <w:r w:rsidR="00EE6E51" w:rsidRPr="00D53C5E">
        <w:rPr>
          <w:iCs/>
        </w:rPr>
        <w:t>энергопринимающих</w:t>
      </w:r>
      <w:proofErr w:type="spellEnd"/>
      <w:r w:rsidR="00EE6E51" w:rsidRPr="00D53C5E">
        <w:rPr>
          <w:iCs/>
        </w:rPr>
        <w:t xml:space="preserve"> устройств льготных категорий заявителей, в том числе для пополнения оборотных средств, необходимых для финансирования мероприятий по технологическому присоединению </w:t>
      </w:r>
      <w:proofErr w:type="spellStart"/>
      <w:r w:rsidR="00EE6E51" w:rsidRPr="00D53C5E">
        <w:rPr>
          <w:iCs/>
        </w:rPr>
        <w:t>энергопринимающих</w:t>
      </w:r>
      <w:proofErr w:type="spellEnd"/>
      <w:r w:rsidR="00EE6E51" w:rsidRPr="00D53C5E">
        <w:rPr>
          <w:iCs/>
        </w:rPr>
        <w:t xml:space="preserve"> устройств максимальной мощностью до 15 кВт, а также для предоставления рассрочки  по оплате мероприятий  по технологическому  присоединению </w:t>
      </w:r>
      <w:proofErr w:type="spellStart"/>
      <w:r w:rsidR="00EE6E51" w:rsidRPr="00D53C5E">
        <w:rPr>
          <w:iCs/>
        </w:rPr>
        <w:t>энергопринимающих</w:t>
      </w:r>
      <w:proofErr w:type="spellEnd"/>
      <w:r w:rsidR="00EE6E51" w:rsidRPr="00D53C5E">
        <w:rPr>
          <w:iCs/>
        </w:rPr>
        <w:t xml:space="preserve"> устройств максимальной мощностью свыше 15 кВт до 100 кВт включительно для субъектов малого и среднего предпринимательства (для финансирования одного или нескольких видов деятельности из перечисленных выше).</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(условия исполнения договора)</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proofErr w:type="spellStart"/>
      <w:r w:rsidRPr="007D7146">
        <w:rPr>
          <w:sz w:val="24"/>
          <w:szCs w:val="24"/>
        </w:rPr>
        <w:t>невозобновляемая</w:t>
      </w:r>
      <w:proofErr w:type="spellEnd"/>
      <w:r w:rsidRPr="007D7146">
        <w:rPr>
          <w:sz w:val="24"/>
          <w:szCs w:val="24"/>
        </w:rPr>
        <w:t xml:space="preserve"> 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E839A1">
        <w:rPr>
          <w:sz w:val="24"/>
          <w:szCs w:val="24"/>
        </w:rPr>
        <w:t>3</w:t>
      </w:r>
      <w:r w:rsidR="009A727A">
        <w:rPr>
          <w:sz w:val="24"/>
          <w:szCs w:val="24"/>
        </w:rPr>
        <w:t xml:space="preserve"> (</w:t>
      </w:r>
      <w:r w:rsidR="00E839A1">
        <w:rPr>
          <w:sz w:val="24"/>
          <w:szCs w:val="24"/>
        </w:rPr>
        <w:t>три</w:t>
      </w:r>
      <w:r w:rsidR="00033457" w:rsidRPr="007D7146">
        <w:rPr>
          <w:sz w:val="24"/>
          <w:szCs w:val="24"/>
        </w:rPr>
        <w:t xml:space="preserve">) </w:t>
      </w:r>
      <w:r w:rsidR="00E839A1">
        <w:rPr>
          <w:sz w:val="24"/>
          <w:szCs w:val="24"/>
        </w:rPr>
        <w:t>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828D3">
        <w:rPr>
          <w:sz w:val="24"/>
          <w:szCs w:val="24"/>
        </w:rPr>
        <w:t xml:space="preserve">1 </w:t>
      </w:r>
      <w:r w:rsidR="00EE6E51">
        <w:rPr>
          <w:sz w:val="24"/>
          <w:szCs w:val="24"/>
        </w:rPr>
        <w:t>4</w:t>
      </w:r>
      <w:r w:rsidR="00E839A1">
        <w:rPr>
          <w:sz w:val="24"/>
          <w:szCs w:val="24"/>
        </w:rPr>
        <w:t>00</w:t>
      </w:r>
      <w:r w:rsidR="00033457" w:rsidRPr="007D7146">
        <w:rPr>
          <w:sz w:val="24"/>
          <w:szCs w:val="24"/>
        </w:rPr>
        <w:t xml:space="preserve"> 000 000 (</w:t>
      </w:r>
      <w:r w:rsidR="00C828D3">
        <w:rPr>
          <w:sz w:val="24"/>
          <w:szCs w:val="24"/>
        </w:rPr>
        <w:t xml:space="preserve">Один </w:t>
      </w:r>
      <w:r w:rsidR="00C828D3" w:rsidRPr="00E872C0">
        <w:rPr>
          <w:sz w:val="24"/>
          <w:szCs w:val="24"/>
        </w:rPr>
        <w:t xml:space="preserve">миллиард </w:t>
      </w:r>
      <w:r w:rsidR="00EE6E51" w:rsidRPr="009A7BA0">
        <w:rPr>
          <w:sz w:val="24"/>
          <w:szCs w:val="24"/>
        </w:rPr>
        <w:t>четыреста</w:t>
      </w:r>
      <w:r w:rsidR="00C828D3" w:rsidRPr="00E872C0">
        <w:rPr>
          <w:sz w:val="24"/>
          <w:szCs w:val="24"/>
        </w:rPr>
        <w:t xml:space="preserve"> миллионов</w:t>
      </w:r>
      <w:r w:rsidR="00033457" w:rsidRPr="007D7146">
        <w:rPr>
          <w:sz w:val="24"/>
          <w:szCs w:val="24"/>
        </w:rPr>
        <w:t>) рублей</w:t>
      </w:r>
      <w:r w:rsidR="00F343E6" w:rsidRPr="007D7146">
        <w:rPr>
          <w:sz w:val="24"/>
          <w:szCs w:val="24"/>
        </w:rPr>
        <w:t>;</w:t>
      </w:r>
    </w:p>
    <w:p w:rsidR="008363EA" w:rsidRPr="00D249A4"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BB6479" w:rsidRPr="00D249A4">
        <w:rPr>
          <w:sz w:val="24"/>
          <w:szCs w:val="24"/>
        </w:rPr>
        <w:t xml:space="preserve"> </w:t>
      </w:r>
      <w:r w:rsidR="00C648EC" w:rsidRPr="00D249A4">
        <w:rPr>
          <w:sz w:val="24"/>
          <w:szCs w:val="24"/>
        </w:rPr>
        <w:t xml:space="preserve">путем выдачи </w:t>
      </w:r>
      <w:r w:rsidR="00511537" w:rsidRPr="00D249A4">
        <w:rPr>
          <w:sz w:val="24"/>
          <w:szCs w:val="24"/>
        </w:rPr>
        <w:t>одн</w:t>
      </w:r>
      <w:r w:rsidR="00C648EC" w:rsidRPr="00D249A4">
        <w:rPr>
          <w:sz w:val="24"/>
          <w:szCs w:val="24"/>
        </w:rPr>
        <w:t>ого</w:t>
      </w:r>
      <w:r w:rsidR="00511537" w:rsidRPr="00D249A4">
        <w:rPr>
          <w:sz w:val="24"/>
          <w:szCs w:val="24"/>
        </w:rPr>
        <w:t xml:space="preserve"> или нескольки</w:t>
      </w:r>
      <w:r w:rsidR="00C648EC" w:rsidRPr="00D249A4">
        <w:rPr>
          <w:sz w:val="24"/>
          <w:szCs w:val="24"/>
        </w:rPr>
        <w:t>х</w:t>
      </w:r>
      <w:r w:rsidR="00511537" w:rsidRPr="00D249A4">
        <w:rPr>
          <w:sz w:val="24"/>
          <w:szCs w:val="24"/>
        </w:rPr>
        <w:t xml:space="preserve"> </w:t>
      </w:r>
      <w:r w:rsidR="00BB6479" w:rsidRPr="00D249A4">
        <w:rPr>
          <w:sz w:val="24"/>
          <w:szCs w:val="24"/>
        </w:rPr>
        <w:t>транш</w:t>
      </w:r>
      <w:r w:rsidR="00C648EC" w:rsidRPr="00D249A4">
        <w:rPr>
          <w:sz w:val="24"/>
          <w:szCs w:val="24"/>
        </w:rPr>
        <w:t>ей</w:t>
      </w:r>
      <w:r w:rsidR="009A727A" w:rsidRPr="00D249A4">
        <w:rPr>
          <w:sz w:val="24"/>
          <w:szCs w:val="24"/>
        </w:rPr>
        <w:t xml:space="preserve"> </w:t>
      </w:r>
      <w:r w:rsidR="00BB6479" w:rsidRPr="00D249A4">
        <w:rPr>
          <w:sz w:val="24"/>
          <w:szCs w:val="24"/>
        </w:rPr>
        <w:t xml:space="preserve">на </w:t>
      </w:r>
      <w:r w:rsidR="0087609A" w:rsidRPr="00D249A4">
        <w:rPr>
          <w:sz w:val="24"/>
          <w:szCs w:val="24"/>
        </w:rPr>
        <w:t xml:space="preserve">основании </w:t>
      </w:r>
      <w:r w:rsidR="00BB6479" w:rsidRPr="00D249A4">
        <w:rPr>
          <w:sz w:val="24"/>
          <w:szCs w:val="24"/>
        </w:rPr>
        <w:t>соответствующ</w:t>
      </w:r>
      <w:r w:rsidR="00654926" w:rsidRPr="00D249A4">
        <w:rPr>
          <w:sz w:val="24"/>
          <w:szCs w:val="24"/>
        </w:rPr>
        <w:t>их</w:t>
      </w:r>
      <w:r w:rsidR="00BB6479" w:rsidRPr="00D249A4">
        <w:rPr>
          <w:sz w:val="24"/>
          <w:szCs w:val="24"/>
        </w:rPr>
        <w:t xml:space="preserve"> </w:t>
      </w:r>
      <w:r w:rsidR="00652C6E" w:rsidRPr="00D249A4">
        <w:rPr>
          <w:sz w:val="24"/>
          <w:szCs w:val="24"/>
        </w:rPr>
        <w:t>Распоряжени</w:t>
      </w:r>
      <w:r w:rsidR="00654926" w:rsidRPr="00D249A4">
        <w:rPr>
          <w:sz w:val="24"/>
          <w:szCs w:val="24"/>
        </w:rPr>
        <w:t xml:space="preserve">й </w:t>
      </w:r>
      <w:r w:rsidR="00DD70D0" w:rsidRPr="00D249A4">
        <w:rPr>
          <w:sz w:val="24"/>
          <w:szCs w:val="24"/>
        </w:rPr>
        <w:t>Заказчика (</w:t>
      </w:r>
      <w:r w:rsidR="00654926" w:rsidRPr="00D249A4">
        <w:rPr>
          <w:sz w:val="24"/>
          <w:szCs w:val="24"/>
        </w:rPr>
        <w:t>Заемщика</w:t>
      </w:r>
      <w:r w:rsidR="00DD70D0" w:rsidRPr="00D249A4">
        <w:rPr>
          <w:sz w:val="24"/>
          <w:szCs w:val="24"/>
        </w:rPr>
        <w:t>)</w:t>
      </w:r>
      <w:r w:rsidR="006C372A" w:rsidRPr="00D249A4">
        <w:rPr>
          <w:sz w:val="24"/>
          <w:szCs w:val="24"/>
        </w:rPr>
        <w:t xml:space="preserve"> на </w:t>
      </w:r>
      <w:r w:rsidR="00652C6E" w:rsidRPr="00D249A4">
        <w:rPr>
          <w:sz w:val="24"/>
          <w:szCs w:val="24"/>
        </w:rPr>
        <w:t xml:space="preserve">перечисление </w:t>
      </w:r>
      <w:r w:rsidR="006C372A" w:rsidRPr="00D249A4">
        <w:rPr>
          <w:sz w:val="24"/>
          <w:szCs w:val="24"/>
        </w:rPr>
        <w:t>кредит</w:t>
      </w:r>
      <w:r w:rsidR="00652C6E" w:rsidRPr="00D249A4">
        <w:rPr>
          <w:sz w:val="24"/>
          <w:szCs w:val="24"/>
        </w:rPr>
        <w:t xml:space="preserve">а </w:t>
      </w:r>
      <w:r w:rsidR="006C372A" w:rsidRPr="00D249A4">
        <w:rPr>
          <w:sz w:val="24"/>
          <w:szCs w:val="24"/>
        </w:rPr>
        <w:t xml:space="preserve">в рамках </w:t>
      </w:r>
      <w:r w:rsidR="006763A4" w:rsidRPr="00D249A4">
        <w:rPr>
          <w:sz w:val="24"/>
          <w:szCs w:val="24"/>
        </w:rPr>
        <w:t>д</w:t>
      </w:r>
      <w:r w:rsidR="006C372A" w:rsidRPr="00D249A4">
        <w:rPr>
          <w:sz w:val="24"/>
          <w:szCs w:val="24"/>
        </w:rPr>
        <w:t xml:space="preserve">оговора об открытии </w:t>
      </w:r>
      <w:proofErr w:type="spellStart"/>
      <w:r w:rsidR="006C372A" w:rsidRPr="00D249A4">
        <w:rPr>
          <w:sz w:val="24"/>
          <w:szCs w:val="24"/>
        </w:rPr>
        <w:t>невозобновляемой</w:t>
      </w:r>
      <w:proofErr w:type="spellEnd"/>
      <w:r w:rsidR="006C372A" w:rsidRPr="00D249A4">
        <w:rPr>
          <w:sz w:val="24"/>
          <w:szCs w:val="24"/>
        </w:rPr>
        <w:t xml:space="preserve"> кредитной линии </w:t>
      </w:r>
      <w:r w:rsidR="00BB6479" w:rsidRPr="00D249A4">
        <w:rPr>
          <w:sz w:val="24"/>
          <w:szCs w:val="24"/>
        </w:rPr>
        <w:t xml:space="preserve">без ограничения суммы транша в пределах установленного лимита </w:t>
      </w:r>
      <w:r w:rsidR="00ED0961" w:rsidRPr="00D249A4">
        <w:rPr>
          <w:sz w:val="24"/>
          <w:szCs w:val="24"/>
        </w:rPr>
        <w:t>кредитования</w:t>
      </w:r>
      <w:r w:rsidR="006830E8" w:rsidRPr="00D249A4">
        <w:rPr>
          <w:sz w:val="24"/>
          <w:szCs w:val="24"/>
        </w:rPr>
        <w:t xml:space="preserve">, без </w:t>
      </w:r>
      <w:r w:rsidR="00F2543B" w:rsidRPr="00D249A4">
        <w:rPr>
          <w:sz w:val="24"/>
          <w:szCs w:val="24"/>
        </w:rPr>
        <w:t>права повторно использовать</w:t>
      </w:r>
      <w:r w:rsidR="006830E8" w:rsidRPr="00D249A4">
        <w:rPr>
          <w:sz w:val="24"/>
          <w:szCs w:val="24"/>
        </w:rPr>
        <w:t xml:space="preserve"> кредитный </w:t>
      </w:r>
      <w:r w:rsidR="00F2543B" w:rsidRPr="00D249A4">
        <w:rPr>
          <w:sz w:val="24"/>
          <w:szCs w:val="24"/>
        </w:rPr>
        <w:t>лимит после</w:t>
      </w:r>
      <w:r w:rsidR="006830E8" w:rsidRPr="00D249A4">
        <w:rPr>
          <w:sz w:val="24"/>
          <w:szCs w:val="24"/>
        </w:rPr>
        <w:t xml:space="preserve"> </w:t>
      </w:r>
      <w:r w:rsidR="00F2543B" w:rsidRPr="00D249A4">
        <w:rPr>
          <w:sz w:val="24"/>
          <w:szCs w:val="24"/>
        </w:rPr>
        <w:t>полного или</w:t>
      </w:r>
      <w:r w:rsidR="006830E8" w:rsidRPr="00D249A4">
        <w:rPr>
          <w:sz w:val="24"/>
          <w:szCs w:val="24"/>
        </w:rPr>
        <w:t xml:space="preserve"> </w:t>
      </w:r>
      <w:r w:rsidR="00F2543B" w:rsidRPr="00D249A4">
        <w:rPr>
          <w:sz w:val="24"/>
          <w:szCs w:val="24"/>
        </w:rPr>
        <w:t>частичного погашения суммы</w:t>
      </w:r>
      <w:r w:rsidR="006830E8" w:rsidRPr="00D249A4">
        <w:rPr>
          <w:sz w:val="24"/>
          <w:szCs w:val="24"/>
        </w:rPr>
        <w:t xml:space="preserve"> кредита</w:t>
      </w:r>
      <w:r w:rsidR="00BB6479" w:rsidRPr="00D249A4">
        <w:rPr>
          <w:sz w:val="24"/>
          <w:szCs w:val="24"/>
        </w:rPr>
        <w:t>;</w:t>
      </w:r>
      <w:r w:rsidR="00ED7ED0" w:rsidRPr="00D249A4">
        <w:rPr>
          <w:sz w:val="24"/>
          <w:szCs w:val="24"/>
        </w:rPr>
        <w:t xml:space="preserve"> </w:t>
      </w:r>
      <w:r w:rsidR="00D249A4" w:rsidRPr="00D249A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lastRenderedPageBreak/>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 xml:space="preserve">едита, </w:t>
      </w:r>
      <w:r w:rsidR="002B3F4B">
        <w:rPr>
          <w:sz w:val="24"/>
          <w:szCs w:val="24"/>
        </w:rPr>
        <w:t>установленной договором</w:t>
      </w:r>
      <w:r w:rsidR="000768B0">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384DAA"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погашение</w:t>
      </w:r>
      <w:r w:rsidRPr="00384DAA">
        <w:rPr>
          <w:color w:val="000000" w:themeColor="text1"/>
          <w:sz w:val="24"/>
          <w:szCs w:val="24"/>
        </w:rPr>
        <w:t xml:space="preserve"> кредита (транша) происходит </w:t>
      </w:r>
      <w:r w:rsidR="003A59F0">
        <w:rPr>
          <w:color w:val="000000" w:themeColor="text1"/>
          <w:sz w:val="24"/>
          <w:szCs w:val="24"/>
        </w:rPr>
        <w:t>ежемесячно</w:t>
      </w:r>
      <w:r w:rsidR="004B7BDC" w:rsidRPr="00384DAA">
        <w:rPr>
          <w:color w:val="000000" w:themeColor="text1"/>
          <w:sz w:val="24"/>
          <w:szCs w:val="24"/>
        </w:rPr>
        <w:t>,</w:t>
      </w:r>
      <w:r w:rsidRPr="00384DAA">
        <w:rPr>
          <w:color w:val="000000" w:themeColor="text1"/>
          <w:sz w:val="24"/>
          <w:szCs w:val="24"/>
        </w:rPr>
        <w:t xml:space="preserve"> начиная с </w:t>
      </w:r>
      <w:r w:rsidR="00303186" w:rsidRPr="00384DAA">
        <w:rPr>
          <w:color w:val="000000" w:themeColor="text1"/>
          <w:sz w:val="24"/>
          <w:szCs w:val="24"/>
        </w:rPr>
        <w:t>2</w:t>
      </w:r>
      <w:r w:rsidR="00CF5756">
        <w:rPr>
          <w:color w:val="000000" w:themeColor="text1"/>
          <w:sz w:val="24"/>
          <w:szCs w:val="24"/>
        </w:rPr>
        <w:t>2</w:t>
      </w:r>
      <w:r w:rsidRPr="00384DAA">
        <w:rPr>
          <w:color w:val="000000" w:themeColor="text1"/>
          <w:sz w:val="24"/>
          <w:szCs w:val="24"/>
        </w:rPr>
        <w:t xml:space="preserve"> месяца срока действия кредитной линии и до окончания срока действия кредитной линии (т.е. до истечения </w:t>
      </w:r>
      <w:r w:rsidR="00A814E7" w:rsidRPr="00384DAA">
        <w:rPr>
          <w:color w:val="000000" w:themeColor="text1"/>
          <w:sz w:val="24"/>
          <w:szCs w:val="24"/>
        </w:rPr>
        <w:t>3</w:t>
      </w:r>
      <w:r w:rsidRPr="00384DAA">
        <w:rPr>
          <w:color w:val="000000" w:themeColor="text1"/>
          <w:sz w:val="24"/>
          <w:szCs w:val="24"/>
        </w:rPr>
        <w:t xml:space="preserve"> (</w:t>
      </w:r>
      <w:r w:rsidR="00A814E7" w:rsidRPr="00384DAA">
        <w:rPr>
          <w:color w:val="000000" w:themeColor="text1"/>
          <w:sz w:val="24"/>
          <w:szCs w:val="24"/>
        </w:rPr>
        <w:t>трех</w:t>
      </w:r>
      <w:r w:rsidRPr="00384DAA">
        <w:rPr>
          <w:color w:val="000000" w:themeColor="text1"/>
          <w:sz w:val="24"/>
          <w:szCs w:val="24"/>
        </w:rPr>
        <w:t xml:space="preserve">) </w:t>
      </w:r>
      <w:r w:rsidR="00384DAA" w:rsidRPr="00384DAA">
        <w:rPr>
          <w:color w:val="000000" w:themeColor="text1"/>
          <w:sz w:val="24"/>
          <w:szCs w:val="24"/>
        </w:rPr>
        <w:t>лет с</w:t>
      </w:r>
      <w:r w:rsidRPr="00384DAA">
        <w:rPr>
          <w:color w:val="000000" w:themeColor="text1"/>
          <w:sz w:val="24"/>
          <w:szCs w:val="24"/>
        </w:rPr>
        <w:t xml:space="preserve"> момента начала срока действия кредитной линии)</w:t>
      </w:r>
      <w:r w:rsidR="000768B0" w:rsidRPr="00384DAA">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договора)</w:t>
      </w:r>
      <w:r w:rsidRPr="007D6D4B">
        <w:rPr>
          <w:bCs/>
          <w:iCs/>
          <w:u w:val="single"/>
        </w:rPr>
        <w:t>, являющиеся критериями оценки:</w:t>
      </w:r>
    </w:p>
    <w:p w:rsidR="00303186" w:rsidRPr="00A60575"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645B16" w:rsidRPr="00761FFB">
        <w:t>договора: Процентная</w:t>
      </w:r>
      <w:r w:rsidRPr="00761FFB">
        <w:t xml:space="preserve"> ставка</w:t>
      </w:r>
      <w:r w:rsidR="00874B49" w:rsidRPr="00761FFB">
        <w:t>:</w:t>
      </w:r>
      <w:r w:rsidR="0062709D" w:rsidRPr="00761FFB">
        <w:t xml:space="preserve"> не более </w:t>
      </w:r>
      <w:r w:rsidR="00EE6E51">
        <w:t>10</w:t>
      </w:r>
      <w:r w:rsidR="00303186" w:rsidRPr="00761FFB">
        <w:t xml:space="preserve"> (</w:t>
      </w:r>
      <w:r w:rsidR="00EE6E51">
        <w:t>десяти</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67589F">
        <w:t>341 428 696</w:t>
      </w:r>
      <w:r w:rsidR="00303186" w:rsidRPr="00A60575">
        <w:t xml:space="preserve"> руб.</w:t>
      </w:r>
      <w:r w:rsidR="000B7153" w:rsidRPr="00A60575">
        <w:t xml:space="preserve"> </w:t>
      </w:r>
      <w:r w:rsidR="0067589F">
        <w:t>76</w:t>
      </w:r>
      <w:r w:rsidR="002703ED">
        <w:t xml:space="preserve"> </w:t>
      </w:r>
      <w:r w:rsidR="0067589F" w:rsidRPr="00A60575">
        <w:t>коп</w:t>
      </w:r>
      <w:r w:rsidR="000B7153" w:rsidRPr="00A60575">
        <w:t>.</w:t>
      </w:r>
      <w:r w:rsidR="00303186" w:rsidRPr="00A60575">
        <w:t>)</w:t>
      </w:r>
      <w:r w:rsidR="00FE6C0B" w:rsidRPr="00A60575">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договора заемщик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Прочие условия предоставления кредита, улучшающие для Заказчика условия исполнения договора.</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Pr="007D7146">
        <w:rPr>
          <w:rFonts w:ascii="Times New Roman CYR" w:hAnsi="Times New Roman CYR" w:cs="Times New Roman CYR"/>
        </w:rPr>
        <w:lastRenderedPageBreak/>
        <w:t>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w:t>
      </w:r>
      <w:r w:rsidR="00397F9B" w:rsidRPr="00E646DE">
        <w:t xml:space="preserve">размещается </w:t>
      </w:r>
      <w:r w:rsidR="00397F9B">
        <w:t>в ЕИС и на О</w:t>
      </w:r>
      <w:r w:rsidR="000860A1" w:rsidRPr="00E646DE">
        <w:t xml:space="preserve">фициальном сайте </w:t>
      </w:r>
      <w:r w:rsidR="00397F9B">
        <w:t xml:space="preserve">не позднее даты вскрытия конвертов с заявками на участие в запросе предложений. </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слуг, предусмотренный договором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 xml:space="preserve">Заказчик по согласованию с лицом, с которым заключен договор по результатам </w:t>
      </w:r>
      <w:r>
        <w:t>запроса предложений</w:t>
      </w:r>
      <w:r w:rsidRPr="005E15EE">
        <w:t xml:space="preserve">, в ходе исполнения договора 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договор</w:t>
      </w:r>
      <w:r w:rsidR="004C7C04" w:rsidRPr="007D7146">
        <w:t>а</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 договор, не меняющие обязательных требований к оказываемым услугам, указанным в </w:t>
      </w:r>
      <w:r w:rsidRPr="00D27DB3">
        <w:rPr>
          <w:rFonts w:eastAsia="Calibri"/>
          <w:color w:val="000000"/>
        </w:rPr>
        <w:lastRenderedPageBreak/>
        <w:t xml:space="preserve">настоящей документации. Такие предложения должны быть оформлены протоколом разногласий к договору </w:t>
      </w:r>
      <w:r w:rsidR="000D7254">
        <w:rPr>
          <w:rFonts w:eastAsia="Calibri"/>
          <w:color w:val="000000"/>
        </w:rPr>
        <w:t xml:space="preserve">либо предложением новой формы договора, не меняющей обязательные требования к оказываемым услугам, установленные настоящей </w:t>
      </w:r>
      <w:proofErr w:type="gramStart"/>
      <w:r w:rsidR="000D7254">
        <w:rPr>
          <w:rFonts w:eastAsia="Calibri"/>
          <w:color w:val="000000"/>
        </w:rPr>
        <w:t xml:space="preserve">документацией,  </w:t>
      </w:r>
      <w:r w:rsidRPr="00D27DB3">
        <w:rPr>
          <w:rFonts w:eastAsia="Calibri"/>
          <w:color w:val="000000"/>
        </w:rPr>
        <w:t>и</w:t>
      </w:r>
      <w:proofErr w:type="gramEnd"/>
      <w:r w:rsidRPr="00D27DB3">
        <w:rPr>
          <w:rFonts w:eastAsia="Calibri"/>
          <w:color w:val="000000"/>
        </w:rPr>
        <w:t xml:space="preserve">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Pr="00D27DB3">
        <w:rPr>
          <w:rFonts w:ascii="Times New Roman CYR" w:hAnsi="Times New Roman CYR" w:cs="Times New Roman CYR"/>
          <w:vanish/>
        </w:rPr>
        <w:t>ействующего устава со всеми изменениями.ии о запросе предложений форме.</w:t>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Pr="00D27DB3">
        <w:rPr>
          <w:rFonts w:ascii="Times New Roman CYR" w:hAnsi="Times New Roman CYR" w:cs="Times New Roman CYR"/>
          <w:vanish/>
        </w:rPr>
        <w:pgNum/>
      </w:r>
      <w:r w:rsidR="00C43468" w:rsidRPr="00D27DB3">
        <w:rPr>
          <w:rFonts w:ascii="Times New Roman CYR" w:hAnsi="Times New Roman CYR" w:cs="Times New Roman CYR"/>
        </w:rPr>
        <w:t xml:space="preserve"> из единого госуда</w:t>
      </w:r>
      <w:bookmarkStart w:id="1" w:name="_GoBack"/>
      <w:bookmarkEnd w:id="1"/>
      <w:r w:rsidR="00C43468" w:rsidRPr="00D27DB3">
        <w:rPr>
          <w:rFonts w:ascii="Times New Roman CYR" w:hAnsi="Times New Roman CYR" w:cs="Times New Roman CYR"/>
        </w:rPr>
        <w:t>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является крупной сделкой, Претендент представляет соответствующее письмо.</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договора.</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w:t>
      </w:r>
      <w:r w:rsidRPr="007D7146">
        <w:lastRenderedPageBreak/>
        <w:t xml:space="preserve">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договора 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2" w:name="_Ref119429644"/>
      <w:bookmarkStart w:id="3"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2"/>
      <w:bookmarkEnd w:id="3"/>
    </w:p>
    <w:p w:rsidR="003C3C7E" w:rsidRDefault="00465F4E" w:rsidP="00D249A4">
      <w:pPr>
        <w:ind w:firstLine="708"/>
        <w:jc w:val="both"/>
        <w:rPr>
          <w:b/>
        </w:rPr>
      </w:pPr>
      <w:bookmarkStart w:id="4" w:name="_Ref119429546"/>
      <w:r>
        <w:t xml:space="preserve">11.1. </w:t>
      </w:r>
      <w:r w:rsidR="003C3C7E" w:rsidRPr="007D7146">
        <w:t>Заявка на участие в запросе</w:t>
      </w:r>
      <w:r w:rsidR="005F06C5">
        <w:t xml:space="preserve"> </w:t>
      </w:r>
      <w:r w:rsidR="003C3C7E">
        <w:t>предложений</w:t>
      </w:r>
      <w:r w:rsidR="003C3C7E" w:rsidRPr="007D7146">
        <w:t xml:space="preserve"> подается Заказчику</w:t>
      </w:r>
      <w:r w:rsidR="00640832">
        <w:rPr>
          <w:b/>
        </w:rPr>
        <w:t xml:space="preserve"> </w:t>
      </w:r>
      <w:r w:rsidR="004C7C04" w:rsidRPr="009A7BA0">
        <w:rPr>
          <w:b/>
        </w:rPr>
        <w:t xml:space="preserve">не позднее </w:t>
      </w:r>
      <w:r w:rsidR="005370D8">
        <w:rPr>
          <w:b/>
        </w:rPr>
        <w:t>10:00</w:t>
      </w:r>
      <w:r w:rsidR="003C3C7E" w:rsidRPr="009A7BA0">
        <w:rPr>
          <w:b/>
        </w:rPr>
        <w:t xml:space="preserve"> </w:t>
      </w:r>
    </w:p>
    <w:p w:rsidR="004C7C04" w:rsidRPr="00E872C0" w:rsidRDefault="003C3C7E" w:rsidP="00D249A4">
      <w:pPr>
        <w:ind w:firstLine="708"/>
        <w:jc w:val="both"/>
        <w:rPr>
          <w:b/>
        </w:rPr>
      </w:pPr>
      <w:r w:rsidRPr="009A7BA0">
        <w:rPr>
          <w:b/>
        </w:rPr>
        <w:t>«20</w:t>
      </w:r>
      <w:r w:rsidR="00B12FA4" w:rsidRPr="009A7BA0">
        <w:rPr>
          <w:b/>
        </w:rPr>
        <w:t>»</w:t>
      </w:r>
      <w:r w:rsidR="00A8477B" w:rsidRPr="009A7BA0">
        <w:rPr>
          <w:b/>
        </w:rPr>
        <w:t xml:space="preserve"> </w:t>
      </w:r>
      <w:r w:rsidR="00371072" w:rsidRPr="009A7BA0">
        <w:rPr>
          <w:b/>
        </w:rPr>
        <w:t>февраля 2017</w:t>
      </w:r>
      <w:r w:rsidR="00732CF7" w:rsidRPr="009A7BA0">
        <w:rPr>
          <w:b/>
        </w:rPr>
        <w:t xml:space="preserve"> </w:t>
      </w:r>
      <w:r w:rsidR="00643472" w:rsidRPr="009A7BA0">
        <w:rPr>
          <w:b/>
        </w:rPr>
        <w:t>года</w:t>
      </w:r>
      <w:r>
        <w:rPr>
          <w:b/>
        </w:rPr>
        <w:t>.</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AB3E1C">
        <w:rPr>
          <w:b/>
        </w:rPr>
        <w:t>20</w:t>
      </w:r>
      <w:r w:rsidR="00B546F3" w:rsidRPr="009A7BA0">
        <w:rPr>
          <w:b/>
        </w:rPr>
        <w:t xml:space="preserve">» </w:t>
      </w:r>
      <w:r w:rsidR="00371072" w:rsidRPr="009A7BA0">
        <w:rPr>
          <w:b/>
        </w:rPr>
        <w:t>февраля</w:t>
      </w:r>
      <w:r w:rsidR="00B546F3" w:rsidRPr="009A7BA0">
        <w:rPr>
          <w:b/>
        </w:rPr>
        <w:t xml:space="preserve"> 201</w:t>
      </w:r>
      <w:r w:rsidR="00371072" w:rsidRPr="009A7BA0">
        <w:rPr>
          <w:b/>
        </w:rPr>
        <w:t>7</w:t>
      </w:r>
      <w:r w:rsidR="00B546F3" w:rsidRPr="009A7BA0">
        <w:rPr>
          <w:b/>
        </w:rPr>
        <w:t xml:space="preserve"> года</w:t>
      </w:r>
      <w:r w:rsidR="007E45D3" w:rsidRPr="00E872C0">
        <w:rPr>
          <w:b/>
        </w:rPr>
        <w:t>,</w:t>
      </w:r>
      <w:r w:rsidR="007E45D3" w:rsidRPr="00E872C0">
        <w:rPr>
          <w:b/>
          <w:szCs w:val="24"/>
        </w:rPr>
        <w:t xml:space="preserve"> </w:t>
      </w:r>
      <w:r w:rsidR="0090693E" w:rsidRPr="00E872C0">
        <w:rPr>
          <w:b/>
          <w:szCs w:val="24"/>
        </w:rPr>
        <w:t xml:space="preserve">в </w:t>
      </w:r>
      <w:r w:rsidR="005370D8">
        <w:rPr>
          <w:b/>
          <w:szCs w:val="24"/>
        </w:rPr>
        <w:t>10:00.</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lastRenderedPageBreak/>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право заключения договор</w:t>
      </w:r>
      <w:r w:rsidR="00834C67" w:rsidRPr="00656A9A">
        <w:rPr>
          <w:i/>
        </w:rPr>
        <w:t xml:space="preserve">а об </w:t>
      </w:r>
      <w:r w:rsidR="00834C67" w:rsidRPr="00E872C0">
        <w:rPr>
          <w:i/>
        </w:rPr>
        <w:t xml:space="preserve">открытии </w:t>
      </w:r>
      <w:proofErr w:type="spellStart"/>
      <w:r w:rsidR="00834C67" w:rsidRPr="00E872C0">
        <w:rPr>
          <w:i/>
        </w:rPr>
        <w:t>невозобновляемой</w:t>
      </w:r>
      <w:proofErr w:type="spellEnd"/>
      <w:r w:rsidR="00834C67" w:rsidRPr="00E872C0">
        <w:rPr>
          <w:i/>
        </w:rPr>
        <w:t xml:space="preserve"> кредитной линии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r w:rsidR="005370D8">
        <w:rPr>
          <w:b/>
          <w:i/>
        </w:rPr>
        <w:t>10:00</w:t>
      </w:r>
      <w:r w:rsidR="00963440" w:rsidRPr="009A7BA0">
        <w:rPr>
          <w:b/>
          <w:i/>
        </w:rPr>
        <w:t xml:space="preserve"> </w:t>
      </w:r>
      <w:r w:rsidR="00AB3E1C" w:rsidRPr="009A7BA0">
        <w:rPr>
          <w:b/>
          <w:i/>
        </w:rPr>
        <w:t>«</w:t>
      </w:r>
      <w:r w:rsidR="00AB3E1C">
        <w:rPr>
          <w:b/>
          <w:i/>
        </w:rPr>
        <w:t>20</w:t>
      </w:r>
      <w:r w:rsidR="00406D8D" w:rsidRPr="009A7BA0">
        <w:rPr>
          <w:b/>
          <w:i/>
        </w:rPr>
        <w:t>»</w:t>
      </w:r>
      <w:r w:rsidR="00150CC7" w:rsidRPr="009A7BA0">
        <w:rPr>
          <w:b/>
          <w:i/>
        </w:rPr>
        <w:t xml:space="preserve"> </w:t>
      </w:r>
      <w:r w:rsidR="00371072" w:rsidRPr="009A7BA0">
        <w:rPr>
          <w:b/>
          <w:i/>
        </w:rPr>
        <w:t>февраля</w:t>
      </w:r>
      <w:r w:rsidR="004C26A2" w:rsidRPr="009A7BA0">
        <w:rPr>
          <w:b/>
          <w:i/>
        </w:rPr>
        <w:t xml:space="preserve"> </w:t>
      </w:r>
      <w:r w:rsidRPr="009A7BA0">
        <w:rPr>
          <w:b/>
          <w:i/>
        </w:rPr>
        <w:t>201</w:t>
      </w:r>
      <w:r w:rsidR="00371072" w:rsidRPr="009A7BA0">
        <w:rPr>
          <w:b/>
          <w:i/>
        </w:rPr>
        <w:t>7</w:t>
      </w:r>
      <w:r w:rsidRPr="009A7BA0">
        <w:rPr>
          <w:b/>
          <w:i/>
        </w:rPr>
        <w:t xml:space="preserve"> 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заключения договор</w:t>
      </w:r>
      <w:r w:rsidR="00112EDC" w:rsidRPr="007D7146">
        <w:t xml:space="preserve">а об открытии </w:t>
      </w:r>
      <w:proofErr w:type="spellStart"/>
      <w:r w:rsidR="007D1540" w:rsidRPr="007D7146">
        <w:t>невозобновляемой</w:t>
      </w:r>
      <w:proofErr w:type="spellEnd"/>
      <w:r w:rsidR="007D1540" w:rsidRPr="007D7146">
        <w:t xml:space="preserve"> кредитной</w:t>
      </w:r>
      <w:r w:rsidR="00112EDC" w:rsidRPr="007D7146">
        <w:t xml:space="preserve"> линии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lastRenderedPageBreak/>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условия исполнения договора,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 1.</w:t>
      </w:r>
      <w:r w:rsidR="0016196B">
        <w:rPr>
          <w:szCs w:val="24"/>
        </w:rPr>
        <w:t>10.5</w:t>
      </w:r>
      <w:r w:rsidR="00B94406">
        <w:rPr>
          <w:szCs w:val="24"/>
        </w:rPr>
        <w:t>).</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EF09D3">
        <w:rPr>
          <w:szCs w:val="24"/>
        </w:rPr>
        <w:t>.4</w:t>
      </w:r>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w:t>
      </w:r>
      <w:r w:rsidR="00100D6E" w:rsidRPr="007D7146">
        <w:rPr>
          <w:szCs w:val="24"/>
        </w:rPr>
        <w:lastRenderedPageBreak/>
        <w:t xml:space="preserve">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100D6E" w:rsidRDefault="00100D6E" w:rsidP="00100D6E">
      <w:pPr>
        <w:widowControl w:val="0"/>
        <w:autoSpaceDE w:val="0"/>
        <w:autoSpaceDN w:val="0"/>
        <w:adjustRightInd w:val="0"/>
        <w:ind w:right="-483"/>
        <w:jc w:val="both"/>
        <w:rPr>
          <w:rFonts w:ascii="Times New Roman CYR" w:hAnsi="Times New Roman CYR" w:cs="Times New Roman CYR"/>
          <w:i/>
          <w:iCs/>
        </w:rPr>
      </w:pPr>
    </w:p>
    <w:p w:rsidR="00A6597F" w:rsidRPr="007D7146" w:rsidRDefault="00A6597F"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3.2.1. Начальная (максимальная) цена договора</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371072" w:rsidRPr="009A7BA0">
              <w:t>10</w:t>
            </w:r>
            <w:r w:rsidR="00282531" w:rsidRPr="009A7BA0">
              <w:t xml:space="preserve"> (</w:t>
            </w:r>
            <w:r w:rsidR="00371072" w:rsidRPr="009A7BA0">
              <w:t>десяти</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w:t>
            </w:r>
            <w:r w:rsidRPr="009A7BA0">
              <w:lastRenderedPageBreak/>
              <w:t>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lastRenderedPageBreak/>
              <w:t>0,80</w:t>
            </w:r>
          </w:p>
        </w:tc>
      </w:tr>
      <w:tr w:rsidR="005B1BB2" w:rsidRPr="00290BDC" w:rsidTr="005E5906">
        <w:tc>
          <w:tcPr>
            <w:tcW w:w="5400" w:type="dxa"/>
            <w:tcBorders>
              <w:top w:val="nil"/>
            </w:tcBorders>
            <w:vAlign w:val="center"/>
          </w:tcPr>
          <w:p w:rsidR="005B1BB2" w:rsidRPr="00290BDC" w:rsidRDefault="005B1BB2" w:rsidP="006E0E56">
            <w:pPr>
              <w:widowControl w:val="0"/>
              <w:autoSpaceDE w:val="0"/>
              <w:autoSpaceDN w:val="0"/>
              <w:adjustRightInd w:val="0"/>
              <w:jc w:val="both"/>
            </w:pPr>
            <w:r w:rsidRPr="00290BDC">
              <w:lastRenderedPageBreak/>
              <w:t xml:space="preserve">3.2.2. </w:t>
            </w:r>
            <w:r w:rsidR="003F3703" w:rsidRPr="00290BDC">
              <w:t xml:space="preserve">Условие договора: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улучшающие для Заказчика условия исполнения договора</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B54E8F">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 договор, не меняющие обязательных требований к оказываемым услугам, указанным документации</w:t>
            </w:r>
            <w:r w:rsidRPr="009722C5">
              <w:rPr>
                <w:color w:val="000000"/>
              </w:rPr>
              <w:t>, в протоколе разногласий</w:t>
            </w:r>
            <w:r w:rsidR="00B54E8F">
              <w:rPr>
                <w:color w:val="000000"/>
              </w:rPr>
              <w:t xml:space="preserve"> или форме договора</w:t>
            </w:r>
            <w:r w:rsidRPr="009722C5">
              <w:rPr>
                <w:color w:val="000000"/>
              </w:rPr>
              <w:t xml:space="preserve">, </w:t>
            </w:r>
            <w:r w:rsidR="00B54E8F" w:rsidRPr="009722C5">
              <w:rPr>
                <w:color w:val="000000"/>
              </w:rPr>
              <w:t>приложенн</w:t>
            </w:r>
            <w:r w:rsidR="00B54E8F">
              <w:rPr>
                <w:color w:val="000000"/>
              </w:rPr>
              <w:t>ых</w:t>
            </w:r>
            <w:r w:rsidR="00B54E8F" w:rsidRPr="009722C5">
              <w:rPr>
                <w:color w:val="000000"/>
              </w:rPr>
              <w:t xml:space="preserve"> </w:t>
            </w:r>
            <w:r w:rsidRPr="009722C5">
              <w:rPr>
                <w:color w:val="000000"/>
              </w:rPr>
              <w:t>к заявке</w:t>
            </w:r>
            <w:r>
              <w:rPr>
                <w:color w:val="000000"/>
              </w:rPr>
              <w:t xml:space="preserve">, и </w:t>
            </w:r>
            <w:r w:rsidRPr="009722C5">
              <w:rPr>
                <w:rFonts w:eastAsia="Calibri"/>
                <w:color w:val="000000"/>
                <w:lang w:eastAsia="en-US"/>
              </w:rPr>
              <w:t>если Заказчик не согласен на заключение договора 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w:t>
            </w:r>
            <w:r w:rsidR="00B54E8F">
              <w:rPr>
                <w:rFonts w:eastAsia="Calibri"/>
                <w:color w:val="000000"/>
                <w:lang w:eastAsia="en-US"/>
              </w:rPr>
              <w:t xml:space="preserve"> или форме договора</w:t>
            </w:r>
            <w:r w:rsidRPr="009722C5">
              <w:rPr>
                <w:rFonts w:eastAsia="Calibri"/>
                <w:color w:val="000000"/>
                <w:lang w:eastAsia="en-US"/>
              </w:rPr>
              <w:t>,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E646DE" w:rsidRDefault="00F972FB" w:rsidP="00F972FB">
      <w:pPr>
        <w:ind w:firstLine="709"/>
        <w:jc w:val="both"/>
      </w:pPr>
      <w:r>
        <w:lastRenderedPageBreak/>
        <w:t>В</w:t>
      </w:r>
      <w:r w:rsidRPr="00E646DE">
        <w:t xml:space="preserve">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Договора</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Заключение договора</w:t>
      </w:r>
      <w:r w:rsidR="00C37081"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Срок заключения договора</w:t>
      </w:r>
      <w:bookmarkEnd w:id="15"/>
      <w:bookmarkEnd w:id="16"/>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B8050A" w:rsidRPr="007D7146">
        <w:rPr>
          <w:szCs w:val="24"/>
        </w:rPr>
        <w:t>Д</w:t>
      </w:r>
      <w:r w:rsidR="000E2870" w:rsidRPr="007D7146">
        <w:rPr>
          <w:szCs w:val="24"/>
        </w:rPr>
        <w:t>оговор</w:t>
      </w:r>
      <w:r w:rsidR="009C3003" w:rsidRPr="007D7146">
        <w:rPr>
          <w:szCs w:val="24"/>
        </w:rPr>
        <w:t xml:space="preserve"> </w:t>
      </w:r>
      <w:r w:rsidR="007279A4" w:rsidRPr="007D7146">
        <w:rPr>
          <w:szCs w:val="24"/>
        </w:rPr>
        <w:t xml:space="preserve">(соглашение) </w:t>
      </w:r>
      <w:r w:rsidR="00B8050A" w:rsidRPr="007D7146">
        <w:rPr>
          <w:szCs w:val="24"/>
        </w:rPr>
        <w:t xml:space="preserve">об </w:t>
      </w:r>
      <w:r w:rsidR="003D2F8D" w:rsidRPr="007D7146">
        <w:rPr>
          <w:szCs w:val="24"/>
        </w:rPr>
        <w:t xml:space="preserve">открытии </w:t>
      </w:r>
      <w:proofErr w:type="spellStart"/>
      <w:r w:rsidR="00B20EF5" w:rsidRPr="007D7146">
        <w:rPr>
          <w:szCs w:val="24"/>
        </w:rPr>
        <w:t>невозобновляемой</w:t>
      </w:r>
      <w:proofErr w:type="spellEnd"/>
      <w:r w:rsidR="00B20EF5" w:rsidRPr="007D7146">
        <w:rPr>
          <w:szCs w:val="24"/>
        </w:rPr>
        <w:t xml:space="preserve"> </w:t>
      </w:r>
      <w:r w:rsidR="003D2F8D" w:rsidRPr="007D7146">
        <w:rPr>
          <w:szCs w:val="24"/>
        </w:rPr>
        <w:t xml:space="preserve">кредитной линии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A620D4">
        <w:rPr>
          <w:szCs w:val="24"/>
        </w:rPr>
        <w:t>три дня</w:t>
      </w:r>
      <w:r w:rsidR="004213F4" w:rsidRPr="007D7146">
        <w:rPr>
          <w:szCs w:val="24"/>
        </w:rPr>
        <w:t xml:space="preserve"> 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договор)</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договора</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995E25" w:rsidRPr="00E646DE">
        <w:rPr>
          <w:rFonts w:ascii="Times New Roman" w:hAnsi="Times New Roman"/>
          <w:sz w:val="24"/>
          <w:szCs w:val="24"/>
        </w:rPr>
        <w:t>Договор заключается на условиях, указанных в заявке участника</w:t>
      </w:r>
      <w:r w:rsidR="000F7A5B">
        <w:rPr>
          <w:rFonts w:ascii="Times New Roman" w:hAnsi="Times New Roman"/>
          <w:sz w:val="24"/>
          <w:szCs w:val="24"/>
        </w:rPr>
        <w:t>, в том числе с учетом протокола разногласий либо формы договора, представленных Участником в составе заявки</w:t>
      </w:r>
      <w:r w:rsidR="00995E25" w:rsidRPr="00E646DE">
        <w:rPr>
          <w:rFonts w:ascii="Times New Roman" w:hAnsi="Times New Roman"/>
          <w:sz w:val="24"/>
          <w:szCs w:val="24"/>
        </w:rPr>
        <w:t>,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w:t>
      </w:r>
      <w:r w:rsidR="00995E25">
        <w:rPr>
          <w:rFonts w:ascii="Times New Roman" w:hAnsi="Times New Roman"/>
          <w:sz w:val="24"/>
          <w:szCs w:val="24"/>
        </w:rPr>
        <w:t xml:space="preserve"> настоящей</w:t>
      </w:r>
      <w:r w:rsidR="00995E25" w:rsidRPr="00E646DE">
        <w:rPr>
          <w:rFonts w:ascii="Times New Roman" w:hAnsi="Times New Roman"/>
          <w:sz w:val="24"/>
          <w:szCs w:val="24"/>
        </w:rPr>
        <w:t xml:space="preserve"> документации.  При заключении договора 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договор, </w:t>
      </w:r>
      <w:r w:rsidR="00995E25" w:rsidRPr="00E646DE">
        <w:rPr>
          <w:rFonts w:ascii="Times New Roman" w:eastAsia="Times New Roman" w:hAnsi="Times New Roman"/>
          <w:sz w:val="24"/>
          <w:szCs w:val="24"/>
          <w:lang w:eastAsia="ru-RU"/>
        </w:rPr>
        <w:t xml:space="preserve">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lastRenderedPageBreak/>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0075A5" w:rsidP="000075A5">
      <w:pPr>
        <w:jc w:val="center"/>
      </w:pPr>
      <w:r w:rsidRPr="007D7146">
        <w:t xml:space="preserve">на право заключения договора </w:t>
      </w:r>
      <w:r w:rsidRPr="007D7146">
        <w:rPr>
          <w:bCs/>
        </w:rPr>
        <w:t>об открытии</w:t>
      </w:r>
      <w:r w:rsidR="00C26B1E" w:rsidRPr="007D7146">
        <w:rPr>
          <w:bCs/>
        </w:rPr>
        <w:t xml:space="preserve"> </w:t>
      </w:r>
      <w:proofErr w:type="spellStart"/>
      <w:r w:rsidR="006A2202" w:rsidRPr="007D7146">
        <w:rPr>
          <w:bCs/>
        </w:rPr>
        <w:t>невозобновляемой</w:t>
      </w:r>
      <w:proofErr w:type="spellEnd"/>
      <w:r w:rsidR="006A2202" w:rsidRPr="007D7146">
        <w:rPr>
          <w:bCs/>
        </w:rPr>
        <w:t xml:space="preserve"> </w:t>
      </w:r>
      <w:r w:rsidRPr="007D7146">
        <w:rPr>
          <w:bCs/>
        </w:rPr>
        <w:t>кредитной линии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договора,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205A9D" w:rsidRPr="007D7146">
        <w:t xml:space="preserve"> об открытии </w:t>
      </w:r>
      <w:proofErr w:type="spellStart"/>
      <w:r w:rsidR="009F5CE2" w:rsidRPr="007D7146">
        <w:t>невозобновляемой</w:t>
      </w:r>
      <w:proofErr w:type="spellEnd"/>
      <w:r w:rsidR="009F5CE2" w:rsidRPr="007D7146">
        <w:t xml:space="preserve">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договора</w:t>
      </w:r>
      <w:r w:rsidR="00100D6E" w:rsidRPr="007D7146">
        <w:t xml:space="preserve">, мы обязуемся подписать данный </w:t>
      </w:r>
      <w:r w:rsidRPr="007D7146">
        <w:t xml:space="preserve">договор об открытии </w:t>
      </w:r>
      <w:proofErr w:type="spellStart"/>
      <w:r w:rsidR="009F5CE2" w:rsidRPr="007D7146">
        <w:t>невозобновляемой</w:t>
      </w:r>
      <w:proofErr w:type="spellEnd"/>
      <w:r w:rsidR="009F5CE2" w:rsidRPr="007D7146">
        <w:t xml:space="preserve">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RDefault="00C01EF2" w:rsidP="00100D6E">
      <w:pPr>
        <w:widowControl w:val="0"/>
        <w:autoSpaceDE w:val="0"/>
        <w:autoSpaceDN w:val="0"/>
        <w:adjustRightInd w:val="0"/>
        <w:jc w:val="both"/>
        <w:rPr>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lastRenderedPageBreak/>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lastRenderedPageBreak/>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proofErr w:type="spellStart"/>
            <w:r w:rsidRPr="00C9595F">
              <w:rPr>
                <w:sz w:val="24"/>
                <w:szCs w:val="24"/>
              </w:rPr>
              <w:t>невозобновляемая</w:t>
            </w:r>
            <w:proofErr w:type="spellEnd"/>
            <w:r w:rsidRPr="00C9595F">
              <w:rPr>
                <w:sz w:val="24"/>
                <w:szCs w:val="24"/>
              </w:rPr>
              <w:t xml:space="preserve"> кредитная линия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Срок действия кредитной линии: </w:t>
            </w:r>
            <w:r w:rsidR="003377F2">
              <w:rPr>
                <w:sz w:val="24"/>
                <w:szCs w:val="24"/>
              </w:rPr>
              <w:t xml:space="preserve">3 </w:t>
            </w:r>
            <w:r w:rsidRPr="00C9595F">
              <w:rPr>
                <w:sz w:val="24"/>
                <w:szCs w:val="24"/>
              </w:rPr>
              <w:t>(</w:t>
            </w:r>
            <w:r w:rsidR="003377F2">
              <w:rPr>
                <w:sz w:val="24"/>
                <w:szCs w:val="24"/>
              </w:rPr>
              <w:t>три</w:t>
            </w:r>
            <w:r w:rsidRPr="00C9595F">
              <w:rPr>
                <w:sz w:val="24"/>
                <w:szCs w:val="24"/>
              </w:rPr>
              <w:t xml:space="preserve">) </w:t>
            </w:r>
            <w:r w:rsidR="003377F2">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371072">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E7B64" w:rsidRPr="00E872C0">
              <w:rPr>
                <w:sz w:val="24"/>
                <w:szCs w:val="24"/>
              </w:rPr>
              <w:t xml:space="preserve">1 </w:t>
            </w:r>
            <w:r w:rsidR="00371072" w:rsidRPr="009A7BA0">
              <w:rPr>
                <w:sz w:val="24"/>
                <w:szCs w:val="24"/>
              </w:rPr>
              <w:t>4</w:t>
            </w:r>
            <w:r w:rsidR="00CE7B64" w:rsidRPr="009A7BA0">
              <w:rPr>
                <w:sz w:val="24"/>
                <w:szCs w:val="24"/>
              </w:rPr>
              <w:t xml:space="preserve">00 </w:t>
            </w:r>
            <w:r w:rsidR="00CE7B64" w:rsidRPr="00E872C0">
              <w:rPr>
                <w:sz w:val="24"/>
                <w:szCs w:val="24"/>
              </w:rPr>
              <w:t xml:space="preserve">000 000 (Один миллиард </w:t>
            </w:r>
            <w:r w:rsidR="00371072" w:rsidRPr="009A7BA0">
              <w:rPr>
                <w:sz w:val="24"/>
                <w:szCs w:val="24"/>
              </w:rPr>
              <w:t>четыреста</w:t>
            </w:r>
            <w:r w:rsidR="00CE7B64" w:rsidRPr="00E872C0">
              <w:rPr>
                <w:sz w:val="24"/>
                <w:szCs w:val="24"/>
              </w:rPr>
              <w:t xml:space="preserve"> миллионов)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E7B64">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w:t>
            </w:r>
            <w:proofErr w:type="spellStart"/>
            <w:r w:rsidRPr="00E872C0">
              <w:rPr>
                <w:sz w:val="24"/>
                <w:szCs w:val="24"/>
              </w:rPr>
              <w:t>невозобновляемой</w:t>
            </w:r>
            <w:proofErr w:type="spellEnd"/>
            <w:r w:rsidRPr="00E872C0">
              <w:rPr>
                <w:sz w:val="24"/>
                <w:szCs w:val="24"/>
              </w:rPr>
              <w:t xml:space="preserve"> кредитной линии без ограничения суммы транша в пределах установленного лимита кредито</w:t>
            </w:r>
            <w:r w:rsidRPr="009A7BA0">
              <w:rPr>
                <w:sz w:val="24"/>
                <w:szCs w:val="24"/>
              </w:rPr>
              <w:t>вания, без права повторно использовать кредитный лимит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E7B64">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 xml:space="preserve">Наличие возможности уменьшения размера процентной ставки -  в том числе, но не исключительно, в связи с принятием Банком </w:t>
            </w:r>
            <w:r w:rsidRPr="00CE7B64">
              <w:rPr>
                <w:sz w:val="24"/>
                <w:szCs w:val="24"/>
              </w:rPr>
              <w:lastRenderedPageBreak/>
              <w:t>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lastRenderedPageBreak/>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lastRenderedPageBreak/>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9B28FE">
            <w:pPr>
              <w:pStyle w:val="mybodystyle063"/>
              <w:tabs>
                <w:tab w:val="left" w:pos="1276"/>
              </w:tabs>
              <w:ind w:left="0"/>
              <w:rPr>
                <w:sz w:val="24"/>
                <w:szCs w:val="24"/>
              </w:rPr>
            </w:pPr>
            <w:r w:rsidRPr="00CE7B64">
              <w:rPr>
                <w:sz w:val="24"/>
                <w:szCs w:val="24"/>
              </w:rPr>
              <w:t>Сроки погашения кредита (транша): погашение кредита (транша) происходит ежеквартально, начиная с 22 месяца срока действия кредитной линии и до окончания срока действия кредитной линии (т.е. до истечения 3 (трех) лет с момента начала срока действия кредитной линии)</w:t>
            </w:r>
            <w:r w:rsidR="009B28FE">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lastRenderedPageBreak/>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Начальная (максимальная) цена договора</w:t>
            </w:r>
            <w:r w:rsidR="00290BDC" w:rsidRPr="00E872C0">
              <w:t>:</w:t>
            </w:r>
          </w:p>
          <w:p w:rsidR="00E24BA0" w:rsidRPr="009A7BA0" w:rsidRDefault="00290BDC" w:rsidP="00371072">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371072" w:rsidRPr="009A7BA0">
              <w:t>10</w:t>
            </w:r>
            <w:r w:rsidR="003E3081" w:rsidRPr="009A7BA0">
              <w:t xml:space="preserve"> </w:t>
            </w:r>
            <w:r w:rsidR="0024189B" w:rsidRPr="00E872C0">
              <w:t>(</w:t>
            </w:r>
            <w:r w:rsidR="00371072" w:rsidRPr="009A7BA0">
              <w:t>десяти</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договора: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договора: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договора</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21259C">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договор об открытии </w:t>
            </w:r>
            <w:proofErr w:type="spellStart"/>
            <w:r w:rsidR="0021259C" w:rsidRPr="00290BDC">
              <w:rPr>
                <w:sz w:val="24"/>
              </w:rPr>
              <w:t>невозобновляемой</w:t>
            </w:r>
            <w:proofErr w:type="spellEnd"/>
            <w:r w:rsidR="0021259C" w:rsidRPr="00290BDC">
              <w:rPr>
                <w:sz w:val="24"/>
              </w:rPr>
              <w:t xml:space="preserve"> кредитной линии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7"/>
      <w:headerReference w:type="default" r:id="rId8"/>
      <w:footerReference w:type="default" r:id="rId9"/>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DB" w:rsidRDefault="002459DB">
      <w:r>
        <w:separator/>
      </w:r>
    </w:p>
  </w:endnote>
  <w:endnote w:type="continuationSeparator" w:id="0">
    <w:p w:rsidR="002459DB" w:rsidRDefault="0024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5E5906" w:rsidRDefault="005E5906">
        <w:pPr>
          <w:pStyle w:val="ad"/>
          <w:jc w:val="right"/>
        </w:pPr>
        <w:r>
          <w:fldChar w:fldCharType="begin"/>
        </w:r>
        <w:r>
          <w:instrText>PAGE   \* MERGEFORMAT</w:instrText>
        </w:r>
        <w:r>
          <w:fldChar w:fldCharType="separate"/>
        </w:r>
        <w:r w:rsidR="00B37644">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DB" w:rsidRDefault="002459DB">
      <w:r>
        <w:separator/>
      </w:r>
    </w:p>
  </w:footnote>
  <w:footnote w:type="continuationSeparator" w:id="0">
    <w:p w:rsidR="002459DB" w:rsidRDefault="0024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Default="005E59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5906" w:rsidRDefault="005E59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Pr="003D2F8D" w:rsidRDefault="005E5906">
    <w:pPr>
      <w:pStyle w:val="aa"/>
      <w:framePr w:wrap="around" w:vAnchor="text" w:hAnchor="margin" w:xAlign="center" w:y="1"/>
      <w:rPr>
        <w:rStyle w:val="ac"/>
        <w:rFonts w:ascii="Times New Roman" w:hAnsi="Times New Roman" w:cs="Times New Roman"/>
      </w:rPr>
    </w:pPr>
  </w:p>
  <w:p w:rsidR="005E5906" w:rsidRDefault="005E59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2A10"/>
    <w:rsid w:val="000230E7"/>
    <w:rsid w:val="00026584"/>
    <w:rsid w:val="00026D55"/>
    <w:rsid w:val="00026D6B"/>
    <w:rsid w:val="00027F03"/>
    <w:rsid w:val="00030BA1"/>
    <w:rsid w:val="00030EE4"/>
    <w:rsid w:val="00031960"/>
    <w:rsid w:val="00033457"/>
    <w:rsid w:val="000342BB"/>
    <w:rsid w:val="00034D60"/>
    <w:rsid w:val="00037A06"/>
    <w:rsid w:val="00041B81"/>
    <w:rsid w:val="00042932"/>
    <w:rsid w:val="000465D0"/>
    <w:rsid w:val="0004778A"/>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D7254"/>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4E05"/>
    <w:rsid w:val="001467F3"/>
    <w:rsid w:val="001468CB"/>
    <w:rsid w:val="00146BD0"/>
    <w:rsid w:val="00146F35"/>
    <w:rsid w:val="00150611"/>
    <w:rsid w:val="00150CC7"/>
    <w:rsid w:val="00151E42"/>
    <w:rsid w:val="0016045E"/>
    <w:rsid w:val="0016196B"/>
    <w:rsid w:val="00161EF3"/>
    <w:rsid w:val="00166235"/>
    <w:rsid w:val="00170C09"/>
    <w:rsid w:val="001715D7"/>
    <w:rsid w:val="00171C4F"/>
    <w:rsid w:val="00172864"/>
    <w:rsid w:val="0017485B"/>
    <w:rsid w:val="001767A0"/>
    <w:rsid w:val="0017782A"/>
    <w:rsid w:val="0018163F"/>
    <w:rsid w:val="00182027"/>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59DB"/>
    <w:rsid w:val="00246259"/>
    <w:rsid w:val="00247182"/>
    <w:rsid w:val="00250AC6"/>
    <w:rsid w:val="002526F0"/>
    <w:rsid w:val="00260151"/>
    <w:rsid w:val="00260464"/>
    <w:rsid w:val="002611D3"/>
    <w:rsid w:val="00262D01"/>
    <w:rsid w:val="002639D8"/>
    <w:rsid w:val="00263C61"/>
    <w:rsid w:val="002652F8"/>
    <w:rsid w:val="002703ED"/>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AFC"/>
    <w:rsid w:val="002C21A2"/>
    <w:rsid w:val="002C24D0"/>
    <w:rsid w:val="002C36AC"/>
    <w:rsid w:val="002C471D"/>
    <w:rsid w:val="002C526E"/>
    <w:rsid w:val="002C5A92"/>
    <w:rsid w:val="002C5AAB"/>
    <w:rsid w:val="002D1C34"/>
    <w:rsid w:val="002D2285"/>
    <w:rsid w:val="002D4BE7"/>
    <w:rsid w:val="002E3FFB"/>
    <w:rsid w:val="002E5346"/>
    <w:rsid w:val="002F2890"/>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97F9B"/>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3566"/>
    <w:rsid w:val="003C3C7E"/>
    <w:rsid w:val="003C3D7F"/>
    <w:rsid w:val="003C45C4"/>
    <w:rsid w:val="003C5BB4"/>
    <w:rsid w:val="003C6833"/>
    <w:rsid w:val="003C757B"/>
    <w:rsid w:val="003D2F8D"/>
    <w:rsid w:val="003D4AFD"/>
    <w:rsid w:val="003D6754"/>
    <w:rsid w:val="003D7C20"/>
    <w:rsid w:val="003E3081"/>
    <w:rsid w:val="003E37B3"/>
    <w:rsid w:val="003E57A3"/>
    <w:rsid w:val="003E7A83"/>
    <w:rsid w:val="003F1BA8"/>
    <w:rsid w:val="003F3703"/>
    <w:rsid w:val="003F4399"/>
    <w:rsid w:val="003F5044"/>
    <w:rsid w:val="003F5FDE"/>
    <w:rsid w:val="003F714A"/>
    <w:rsid w:val="003F7C74"/>
    <w:rsid w:val="00401483"/>
    <w:rsid w:val="00401742"/>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0D8"/>
    <w:rsid w:val="00537D85"/>
    <w:rsid w:val="0054102A"/>
    <w:rsid w:val="00542653"/>
    <w:rsid w:val="00542EF0"/>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203B"/>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310"/>
    <w:rsid w:val="006A1693"/>
    <w:rsid w:val="006A2202"/>
    <w:rsid w:val="006A36F1"/>
    <w:rsid w:val="006A4038"/>
    <w:rsid w:val="006A6C24"/>
    <w:rsid w:val="006B24B5"/>
    <w:rsid w:val="006B27F3"/>
    <w:rsid w:val="006B2D68"/>
    <w:rsid w:val="006B36CB"/>
    <w:rsid w:val="006C372A"/>
    <w:rsid w:val="006C515F"/>
    <w:rsid w:val="006C5586"/>
    <w:rsid w:val="006C6BD6"/>
    <w:rsid w:val="006D27E7"/>
    <w:rsid w:val="006D4334"/>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4A"/>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5583"/>
    <w:rsid w:val="009C6581"/>
    <w:rsid w:val="009D02E8"/>
    <w:rsid w:val="009D102C"/>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97F"/>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F0D23"/>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37644"/>
    <w:rsid w:val="00B40D0F"/>
    <w:rsid w:val="00B42512"/>
    <w:rsid w:val="00B42541"/>
    <w:rsid w:val="00B425A3"/>
    <w:rsid w:val="00B4273F"/>
    <w:rsid w:val="00B431F4"/>
    <w:rsid w:val="00B43C15"/>
    <w:rsid w:val="00B43CCC"/>
    <w:rsid w:val="00B466D8"/>
    <w:rsid w:val="00B476EF"/>
    <w:rsid w:val="00B51271"/>
    <w:rsid w:val="00B546F3"/>
    <w:rsid w:val="00B54E8F"/>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57A58"/>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4DAB"/>
    <w:rsid w:val="00DB6970"/>
    <w:rsid w:val="00DC36A8"/>
    <w:rsid w:val="00DC3A20"/>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1EFF"/>
    <w:rsid w:val="00E22A79"/>
    <w:rsid w:val="00E24BA0"/>
    <w:rsid w:val="00E25141"/>
    <w:rsid w:val="00E257AB"/>
    <w:rsid w:val="00E26980"/>
    <w:rsid w:val="00E26B4A"/>
    <w:rsid w:val="00E31F05"/>
    <w:rsid w:val="00E3381C"/>
    <w:rsid w:val="00E356A8"/>
    <w:rsid w:val="00E35E34"/>
    <w:rsid w:val="00E3753E"/>
    <w:rsid w:val="00E3765B"/>
    <w:rsid w:val="00E37F5E"/>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1718"/>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09D3"/>
    <w:rsid w:val="00EF1A24"/>
    <w:rsid w:val="00EF3BB4"/>
    <w:rsid w:val="00EF46C9"/>
    <w:rsid w:val="00EF4D60"/>
    <w:rsid w:val="00EF56D2"/>
    <w:rsid w:val="00EF5755"/>
    <w:rsid w:val="00F00B1D"/>
    <w:rsid w:val="00F01364"/>
    <w:rsid w:val="00F02924"/>
    <w:rsid w:val="00F03A55"/>
    <w:rsid w:val="00F041C3"/>
    <w:rsid w:val="00F0478E"/>
    <w:rsid w:val="00F06B55"/>
    <w:rsid w:val="00F106DF"/>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3D5CB2-8C12-4A9A-B022-5FC3BD0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4905</Words>
  <Characters>34889</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Миняева Наталья Владимировна</cp:lastModifiedBy>
  <cp:revision>5</cp:revision>
  <cp:lastPrinted>2017-02-09T09:53:00Z</cp:lastPrinted>
  <dcterms:created xsi:type="dcterms:W3CDTF">2017-02-09T09:52:00Z</dcterms:created>
  <dcterms:modified xsi:type="dcterms:W3CDTF">2017-02-10T06:50:00Z</dcterms:modified>
</cp:coreProperties>
</file>