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Pr="00F937FE" w:rsidRDefault="00AB3A61" w:rsidP="00E871E4">
      <w:pPr>
        <w:tabs>
          <w:tab w:val="num" w:pos="1418"/>
        </w:tabs>
        <w:ind w:firstLine="567"/>
        <w:jc w:val="right"/>
        <w:rPr>
          <w:bCs/>
          <w:iCs/>
        </w:rPr>
      </w:pPr>
      <w:r>
        <w:rPr>
          <w:bCs/>
          <w:iCs/>
        </w:rPr>
        <w:t>Форма № 4</w:t>
      </w:r>
      <w:bookmarkStart w:id="0" w:name="_GoBack"/>
      <w:bookmarkEnd w:id="0"/>
    </w:p>
    <w:p w:rsidR="00CC4D98" w:rsidRPr="00F937FE" w:rsidRDefault="00CC4D98" w:rsidP="003044A8">
      <w:pPr>
        <w:jc w:val="center"/>
        <w:outlineLvl w:val="0"/>
        <w:rPr>
          <w:b/>
        </w:rPr>
      </w:pPr>
    </w:p>
    <w:p w:rsidR="003044A8" w:rsidRPr="00F937FE" w:rsidRDefault="003044A8" w:rsidP="003044A8">
      <w:pPr>
        <w:jc w:val="center"/>
        <w:outlineLvl w:val="0"/>
        <w:rPr>
          <w:b/>
          <w:noProof/>
        </w:rPr>
      </w:pPr>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7124FD" w:rsidRPr="00F937FE" w:rsidRDefault="007124FD" w:rsidP="009A6257">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F937FE" w:rsidRDefault="003044A8" w:rsidP="003044A8">
      <w:pPr>
        <w:jc w:val="center"/>
        <w:outlineLvl w:val="0"/>
        <w:rPr>
          <w:b/>
          <w:noProof/>
        </w:rPr>
      </w:pPr>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r w:rsidR="009A6257" w:rsidRPr="00F937FE">
        <w:tab/>
      </w:r>
      <w:r w:rsidRPr="00F937FE">
        <w:rPr>
          <w:noProof/>
        </w:rPr>
        <w:t>«_____» __________ 20__</w:t>
      </w:r>
      <w:r w:rsidRPr="00F937FE">
        <w:t>г.</w:t>
      </w:r>
    </w:p>
    <w:p w:rsidR="003044A8" w:rsidRPr="00F937FE" w:rsidRDefault="003044A8" w:rsidP="003044A8">
      <w:pPr>
        <w:spacing w:before="120"/>
        <w:jc w:val="center"/>
      </w:pPr>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Заместителя генерального директора по капитальному строительству Фистюлевой Алии Тахировны</w:t>
      </w:r>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F937FE">
        <w:lastRenderedPageBreak/>
        <w:t>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F937FE">
        <w:t>п.</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Обеспечить осуществление технического надзора за производством Работ и участвовать в освидетельствовании скрытых работ.</w:t>
      </w:r>
    </w:p>
    <w:p w:rsidR="003044A8" w:rsidRPr="00F937FE" w:rsidRDefault="003044A8" w:rsidP="000128EA">
      <w:pPr>
        <w:pStyle w:val="a4"/>
        <w:numPr>
          <w:ilvl w:val="1"/>
          <w:numId w:val="16"/>
        </w:numPr>
        <w:ind w:left="0" w:firstLine="709"/>
        <w:jc w:val="both"/>
      </w:pPr>
      <w:r w:rsidRPr="00F937FE">
        <w:lastRenderedPageBreak/>
        <w:t xml:space="preserve">Принять выполненные работы в порядке, </w:t>
      </w:r>
      <w:r w:rsidR="00F4609C" w:rsidRPr="00F937FE">
        <w:t>установленном</w:t>
      </w:r>
      <w:r w:rsidRPr="00F937FE">
        <w:t xml:space="preserve"> разделом 6 настоящего Договора.</w:t>
      </w:r>
    </w:p>
    <w:p w:rsidR="003044A8" w:rsidRPr="00F937FE" w:rsidRDefault="003044A8" w:rsidP="0082697D">
      <w:pPr>
        <w:pStyle w:val="a4"/>
        <w:numPr>
          <w:ilvl w:val="1"/>
          <w:numId w:val="16"/>
        </w:numPr>
        <w:ind w:left="0" w:firstLine="705"/>
        <w:jc w:val="both"/>
      </w:pPr>
      <w:r w:rsidRPr="00F937FE">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F937FE">
        <w:t>ст.</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 xml:space="preserve">За свой счет устранить указанные Заказчиком недостатки Проектно-сметной </w:t>
      </w:r>
      <w:r w:rsidRPr="00F937FE">
        <w:lastRenderedPageBreak/>
        <w:t>документации</w:t>
      </w:r>
      <w:r w:rsidR="00D60499" w:rsidRPr="00F937FE">
        <w:t xml:space="preserve">, </w:t>
      </w:r>
      <w:r w:rsidR="00D60499" w:rsidRPr="00F937FE">
        <w:rPr>
          <w:bCs w:val="0"/>
          <w:iCs w:val="0"/>
          <w:szCs w:val="24"/>
        </w:rPr>
        <w:t>результатов инженерных изысканий, включая, при необходимости, выполнение дополнительных работ,</w:t>
      </w:r>
      <w:r w:rsidRPr="00F937F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w:t>
      </w:r>
      <w:r w:rsidRPr="00F937FE">
        <w:lastRenderedPageBreak/>
        <w:t xml:space="preserve">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F937FE" w:rsidRDefault="00823B53" w:rsidP="00823B53">
      <w:pPr>
        <w:pStyle w:val="a4"/>
        <w:ind w:firstLine="705"/>
        <w:jc w:val="both"/>
      </w:pPr>
      <w:r w:rsidRPr="00F937F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r w:rsidRPr="000128EA">
        <w:lastRenderedPageBreak/>
        <w:t>стоимости  выполняемых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t>СРОКИ ВЫПОЛНЕНИЯ РАБОТ</w:t>
      </w:r>
    </w:p>
    <w:p w:rsidR="00881F97" w:rsidRPr="00F937FE" w:rsidRDefault="00881F97" w:rsidP="0082697D">
      <w:pPr>
        <w:pStyle w:val="a4"/>
        <w:numPr>
          <w:ilvl w:val="1"/>
          <w:numId w:val="16"/>
        </w:numPr>
        <w:ind w:left="0" w:firstLine="705"/>
        <w:jc w:val="both"/>
      </w:pPr>
      <w:r w:rsidRPr="00F937F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 xml:space="preserve">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w:t>
      </w:r>
      <w:r w:rsidRPr="00F937FE">
        <w:lastRenderedPageBreak/>
        <w:t>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сдачи-приемки </w:t>
      </w:r>
      <w:r w:rsidR="00424F4B" w:rsidRPr="00F937FE">
        <w:t xml:space="preserve"> </w:t>
      </w:r>
      <w:r w:rsidR="004669A5" w:rsidRPr="00F937FE">
        <w:t>выполненных</w:t>
      </w:r>
      <w:r w:rsidRPr="00F937FE">
        <w:t xml:space="preserve"> работ по </w:t>
      </w:r>
      <w:r w:rsidRPr="00F937FE">
        <w:lastRenderedPageBreak/>
        <w:t>Этапу 2.</w:t>
      </w:r>
    </w:p>
    <w:p w:rsidR="00384125" w:rsidRPr="00F937FE" w:rsidRDefault="00384125"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6.4.</w:t>
      </w:r>
      <w:r w:rsidR="003B2050" w:rsidRPr="00F937FE">
        <w:t>6</w:t>
      </w:r>
      <w:r w:rsidRPr="00F937F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lastRenderedPageBreak/>
        <w:t>Подрядчик обязан после окончания работ представить Заказчику отчет об израсходовании 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и/или оборудования</w:t>
      </w:r>
      <w:r w:rsidRPr="00F937F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lastRenderedPageBreak/>
        <w:t xml:space="preserve">Подрядчик для организации окончательной сдачи-приемки завершенного строительством (реконструкцией) Объекта обязан не позднее </w:t>
      </w:r>
      <w:r w:rsidR="008D44EB">
        <w:t>30</w:t>
      </w:r>
      <w:r w:rsidRPr="00F937FE">
        <w:t xml:space="preserve"> (</w:t>
      </w:r>
      <w:r w:rsidR="008D44EB">
        <w:t>тридцатого</w:t>
      </w:r>
      <w:r w:rsidRPr="00F937F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F937FE">
        <w:t xml:space="preserve"> даты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lastRenderedPageBreak/>
        <w:t>ПОРЯДОК РАСЧЕТОВ</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1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xml:space="preserve">.  </w:t>
      </w:r>
      <w:r w:rsidRPr="00F937FE">
        <w:lastRenderedPageBreak/>
        <w:t>При этом данное уменьшение платежей не освобождает Подрядчика от исполнения своих обязательств по настоящему Договору.</w:t>
      </w:r>
    </w:p>
    <w:p w:rsidR="007E18C3" w:rsidRPr="00F937FE" w:rsidRDefault="007E18C3" w:rsidP="0082697D">
      <w:pPr>
        <w:pStyle w:val="a4"/>
        <w:numPr>
          <w:ilvl w:val="1"/>
          <w:numId w:val="16"/>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 xml:space="preserve">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w:t>
      </w:r>
      <w:r w:rsidRPr="00F937FE">
        <w:lastRenderedPageBreak/>
        <w:t>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Подрядчика </w:t>
      </w:r>
      <w:r w:rsidRPr="00F937F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шесть) </w:t>
      </w:r>
      <w:r w:rsidRPr="00F937FE">
        <w:t xml:space="preserve"> месяцев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F937FE">
        <w:t xml:space="preserve">даты  </w:t>
      </w:r>
      <w:r w:rsidRPr="00F937FE">
        <w:t xml:space="preserve">выставления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t>ОТВЕТСТВЕННОСТЬ СТОРОН</w:t>
      </w:r>
    </w:p>
    <w:p w:rsidR="00FE0B6D" w:rsidRPr="00F937FE" w:rsidRDefault="00FE0B6D" w:rsidP="00FE0B6D">
      <w:pPr>
        <w:pStyle w:val="a4"/>
        <w:numPr>
          <w:ilvl w:val="1"/>
          <w:numId w:val="17"/>
        </w:numPr>
        <w:ind w:left="0" w:firstLine="709"/>
        <w:jc w:val="both"/>
      </w:pPr>
      <w:r w:rsidRPr="00F937F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5% от фактической стоимости работ по Договору (стоимости этапа работ)  за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 xml:space="preserve">Устранить недостатки своими силами или привлечь для их устранения третье лицо с </w:t>
      </w:r>
      <w:r w:rsidRPr="00F937FE">
        <w:lastRenderedPageBreak/>
        <w:t>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lastRenderedPageBreak/>
        <w:t xml:space="preserve">получения уведомления работ и всё иное, связанное с выполнением работ. </w:t>
      </w:r>
      <w:r w:rsidR="00E339E9" w:rsidRPr="000128EA">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lastRenderedPageBreak/>
        <w:t>Грузополучатель: Филиал АО «ЛОЭСК» «________ электросети»</w:t>
      </w:r>
    </w:p>
    <w:p w:rsidR="006B5014" w:rsidRPr="00F937FE" w:rsidRDefault="006B5014" w:rsidP="00106598">
      <w:r w:rsidRPr="00F937FE">
        <w:t>Место нахождения: __________________</w:t>
      </w:r>
    </w:p>
    <w:p w:rsidR="006B5014" w:rsidRPr="00F937FE" w:rsidRDefault="006B5014" w:rsidP="00106598">
      <w:r w:rsidRPr="00F937FE">
        <w:t>КПП ____________</w:t>
      </w:r>
    </w:p>
    <w:p w:rsidR="006B5014" w:rsidRPr="00F937FE" w:rsidRDefault="006B5014" w:rsidP="006B5014">
      <w:r w:rsidRPr="00F937FE">
        <w:t>Телефон____________, факс _______________</w:t>
      </w:r>
    </w:p>
    <w:p w:rsidR="006B5014" w:rsidRPr="00F937FE" w:rsidRDefault="006B5014" w:rsidP="006B5014">
      <w:r w:rsidRPr="00F937FE">
        <w:t>e-mail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e-mail _____________</w:t>
      </w:r>
    </w:p>
    <w:p w:rsidR="00106598" w:rsidRPr="00F937FE" w:rsidRDefault="00106598" w:rsidP="00106598">
      <w:r w:rsidRPr="00F937FE">
        <w:t>ИНН ____________КПП _______________</w:t>
      </w:r>
    </w:p>
    <w:p w:rsidR="00E31FD0" w:rsidRPr="00F937FE" w:rsidRDefault="00E31FD0" w:rsidP="00106598">
      <w:r w:rsidRPr="00F937FE">
        <w:t>ОКПО _________  ОКВЭД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lastRenderedPageBreak/>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lastRenderedPageBreak/>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D47FCE" w:rsidRPr="00F937FE">
        <w:rPr>
          <w:rFonts w:ascii="Times New Roman CYR" w:hAnsi="Times New Roman CYR" w:cs="Times New Roman CYR"/>
          <w:bCs/>
          <w:i/>
          <w:iCs/>
          <w:szCs w:val="22"/>
        </w:rPr>
        <w:t xml:space="preserve">ст.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(СЗу Ростехнадзора);</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(СЗу Ростехнадзора);</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lastRenderedPageBreak/>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 ______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lastRenderedPageBreak/>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i/>
        </w:rPr>
        <w:lastRenderedPageBreak/>
        <w:t>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с отметкой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lastRenderedPageBreak/>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с отметкой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lastRenderedPageBreak/>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(СЗу Ростехнадзора);</w:t>
      </w:r>
    </w:p>
    <w:p w:rsidR="00253025" w:rsidRPr="00F937FE" w:rsidRDefault="00AB3A61"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разрешение на ввод Объекта в эксплуатацию, выданное  уполномоченным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lastRenderedPageBreak/>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«____»______________201__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кВ, КЛ-0,4 кВ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(КТП, БКТП, БКТПб,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lastRenderedPageBreak/>
        <w:t>-</w:t>
      </w:r>
      <w:r w:rsidRPr="00F937FE">
        <w:rPr>
          <w:i/>
        </w:rPr>
        <w:t xml:space="preserve"> высота кабельного этажа (для БКТПб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РУ-6(10) кВ</w:t>
      </w:r>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кВ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r w:rsidRPr="00F937FE">
        <w:rPr>
          <w:b/>
        </w:rPr>
        <w:t>кВ</w:t>
      </w:r>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«Энергоконтроль»</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w:t>
      </w:r>
      <w:r w:rsidRPr="00F937F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lastRenderedPageBreak/>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w:t>
            </w:r>
            <w:r w:rsidR="00C14800" w:rsidRPr="00F937FE">
              <w:rPr>
                <w:sz w:val="20"/>
                <w:szCs w:val="20"/>
              </w:rPr>
              <w:t xml:space="preserve">ст.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w:t>
            </w:r>
            <w:r w:rsidRPr="00F937FE">
              <w:rPr>
                <w:iCs/>
                <w:color w:val="000000"/>
                <w:sz w:val="20"/>
                <w:szCs w:val="20"/>
              </w:rPr>
              <w:lastRenderedPageBreak/>
              <w:t>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lastRenderedPageBreak/>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F937F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w:t>
            </w:r>
            <w:r w:rsidRPr="00F937FE">
              <w:rPr>
                <w:sz w:val="20"/>
                <w:szCs w:val="20"/>
              </w:rPr>
              <w:lastRenderedPageBreak/>
              <w:t>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 xml:space="preserve">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w:t>
            </w:r>
            <w:r w:rsidRPr="00F937FE">
              <w:rPr>
                <w:iCs/>
                <w:color w:val="000000"/>
                <w:sz w:val="20"/>
                <w:szCs w:val="20"/>
              </w:rPr>
              <w:lastRenderedPageBreak/>
              <w:t>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 xml:space="preserve">одготовка совместно с соответствующим филиалом АО «ЛОЭСК» акта осмотра установленных предупреждающих </w:t>
            </w:r>
            <w:r w:rsidR="0092298A" w:rsidRPr="00F937FE">
              <w:rPr>
                <w:sz w:val="20"/>
                <w:szCs w:val="20"/>
              </w:rPr>
              <w:lastRenderedPageBreak/>
              <w:t>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lastRenderedPageBreak/>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lastRenderedPageBreak/>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(СЗу Ростехнадзора);</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в случае отсутствия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подготовка совместно с соответствующим филиалом АО «ЛОЭСК» акта осмотра установленных предупреждающих знаков с приложением фотоотчёта об установке </w:t>
      </w:r>
      <w:r w:rsidRPr="00F937FE">
        <w:rPr>
          <w:i/>
        </w:rPr>
        <w:lastRenderedPageBreak/>
        <w:t>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(СЗу Ростехнадзора);</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lastRenderedPageBreak/>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B3A61"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lastRenderedPageBreak/>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F937FE">
        <w:rPr>
          <w:bCs/>
          <w:i/>
          <w:iCs/>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lastRenderedPageBreak/>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lastRenderedPageBreak/>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«____»______________201__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КЛ-10 кВ, КЛ-0,4 кВ</w:t>
      </w:r>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(КТП, БКТП, БКТПб,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устройства/восстановления  дренажа,</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перезаводимых кабелей 6(10) и 0,4 кВ,</w:t>
      </w:r>
    </w:p>
    <w:p w:rsidR="00AA58EF" w:rsidRPr="00F937FE" w:rsidRDefault="00AA58EF" w:rsidP="00AA58EF">
      <w:pPr>
        <w:ind w:left="284"/>
        <w:rPr>
          <w:i/>
        </w:rPr>
      </w:pPr>
      <w:r w:rsidRPr="00F937FE">
        <w:rPr>
          <w:b/>
        </w:rPr>
        <w:lastRenderedPageBreak/>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РУ-6(10) кВ</w:t>
      </w:r>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r w:rsidRPr="00F937FE">
        <w:rPr>
          <w:b/>
        </w:rPr>
        <w:t>кВ</w:t>
      </w:r>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 xml:space="preserve">ТУ от ООО «Энергоконтроль» </w:t>
      </w:r>
      <w:r w:rsidRPr="00F937FE">
        <w:t>(лицо, действующие от имени и по поручению АО «ЛОЭСК» по агентскому договору)</w:t>
      </w:r>
      <w:r w:rsidRPr="00F937F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в  филиале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Предоставление в письменном виде информации об объемах и породном составе вырубаемой древесины не позднее 15 </w:t>
            </w:r>
            <w:r w:rsidRPr="00F937FE">
              <w:rPr>
                <w:sz w:val="20"/>
                <w:szCs w:val="20"/>
              </w:rPr>
              <w:lastRenderedPageBreak/>
              <w:t>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В случае отсутствия  установленной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lastRenderedPageBreak/>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а также в органы архитектуры муниципального образования в соответствии с требованиями ст.</w:t>
            </w:r>
            <w:r w:rsidR="00041C16" w:rsidRPr="00F937FE">
              <w:rPr>
                <w:iCs/>
                <w:color w:val="000000"/>
                <w:sz w:val="20"/>
                <w:szCs w:val="20"/>
              </w:rPr>
              <w:t xml:space="preserve">ст.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2C" w:rsidRDefault="007C5B2C" w:rsidP="0076416A">
      <w:r>
        <w:separator/>
      </w:r>
    </w:p>
  </w:endnote>
  <w:endnote w:type="continuationSeparator" w:id="0">
    <w:p w:rsidR="007C5B2C" w:rsidRDefault="007C5B2C"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31647D" w:rsidRDefault="0031647D">
        <w:pPr>
          <w:pStyle w:val="aa"/>
          <w:jc w:val="right"/>
        </w:pPr>
        <w:r>
          <w:fldChar w:fldCharType="begin"/>
        </w:r>
        <w:r>
          <w:instrText>PAGE   \* MERGEFORMAT</w:instrText>
        </w:r>
        <w:r>
          <w:fldChar w:fldCharType="separate"/>
        </w:r>
        <w:r w:rsidR="00AB3A61">
          <w:rPr>
            <w:noProof/>
          </w:rPr>
          <w:t>2</w:t>
        </w:r>
        <w:r>
          <w:fldChar w:fldCharType="end"/>
        </w:r>
      </w:p>
    </w:sdtContent>
  </w:sdt>
  <w:p w:rsidR="0031647D" w:rsidRDefault="00316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647D" w:rsidRDefault="0031647D"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2C" w:rsidRDefault="007C5B2C" w:rsidP="0076416A">
      <w:r>
        <w:separator/>
      </w:r>
    </w:p>
  </w:footnote>
  <w:footnote w:type="continuationSeparator" w:id="0">
    <w:p w:rsidR="007C5B2C" w:rsidRDefault="007C5B2C" w:rsidP="0076416A">
      <w:r>
        <w:continuationSeparator/>
      </w:r>
    </w:p>
  </w:footnote>
  <w:footnote w:id="1">
    <w:p w:rsidR="0031647D" w:rsidRDefault="0031647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31647D" w:rsidRDefault="0031647D"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31647D" w:rsidRDefault="0031647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4498"/>
    <w:rsid w:val="009C6590"/>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A61"/>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8F6E1-53AA-447E-B35D-3997C617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DE76-7D26-4867-A8D2-0F0BEC15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23462</Words>
  <Characters>133740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Миняева Наталья Владимировна</cp:lastModifiedBy>
  <cp:revision>3</cp:revision>
  <cp:lastPrinted>2016-12-13T10:06:00Z</cp:lastPrinted>
  <dcterms:created xsi:type="dcterms:W3CDTF">2017-01-10T11:23:00Z</dcterms:created>
  <dcterms:modified xsi:type="dcterms:W3CDTF">2017-01-12T08:47:00Z</dcterms:modified>
</cp:coreProperties>
</file>