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D42BE6" w:rsidRDefault="006023D2" w:rsidP="006023D2">
      <w:pPr>
        <w:ind w:firstLine="708"/>
        <w:jc w:val="both"/>
      </w:pPr>
      <w:r w:rsidRPr="000A41BF">
        <w:t xml:space="preserve">2.8.  </w:t>
      </w:r>
      <w:r w:rsidR="00D42BE6" w:rsidRPr="00D42BE6">
        <w:t>отсутствие в реестрах 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F707E3">
        <w:t xml:space="preserve">с АО «ЛОЭСК»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 xml:space="preserve">Справка в свободной форме об отсутствии судебных споров </w:t>
      </w:r>
      <w:r w:rsidR="0014562E">
        <w:t xml:space="preserve">с АО «ЛОЭСК» </w:t>
      </w:r>
      <w:r w:rsidRPr="000A41BF">
        <w:t>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A6533C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534EA"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</w:t>
      </w:r>
      <w:r w:rsidRPr="00C534EA">
        <w:lastRenderedPageBreak/>
        <w:t xml:space="preserve">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</w:t>
      </w:r>
      <w:r w:rsidR="00F13434">
        <w:rPr>
          <w:rFonts w:eastAsia="Calibri"/>
          <w:lang w:eastAsia="en-US"/>
        </w:rPr>
        <w:t>(Форма №8</w:t>
      </w:r>
      <w:r w:rsidR="00F13434"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5536CE">
        <w:t>,5</w:t>
      </w:r>
      <w:r w:rsidRPr="005272A3">
        <w:t>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lastRenderedPageBreak/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</w:t>
      </w:r>
      <w:r w:rsidRPr="000A41BF">
        <w:rPr>
          <w:szCs w:val="24"/>
        </w:rPr>
        <w:lastRenderedPageBreak/>
        <w:t xml:space="preserve">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</w:t>
      </w:r>
      <w:r w:rsidRPr="000A41BF">
        <w:rPr>
          <w:szCs w:val="24"/>
        </w:rPr>
        <w:lastRenderedPageBreak/>
        <w:t>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</w:t>
      </w:r>
      <w:r w:rsidRPr="000A41BF">
        <w:lastRenderedPageBreak/>
        <w:t>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bookmarkStart w:id="12" w:name="_GoBack"/>
      <w:bookmarkEnd w:id="12"/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A6533C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A6533C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Default="008C65AD" w:rsidP="00A6533C">
            <w:pPr>
              <w:ind w:left="284"/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Default="00A6533C" w:rsidP="00A6533C">
            <w:pPr>
              <w:ind w:left="284"/>
              <w:rPr>
                <w:b/>
              </w:rPr>
            </w:pPr>
          </w:p>
          <w:p w:rsidR="00A6533C" w:rsidRPr="00A6533C" w:rsidRDefault="00A6533C" w:rsidP="00A6533C">
            <w:pPr>
              <w:ind w:left="284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850"/>
              <w:gridCol w:w="2375"/>
              <w:gridCol w:w="281"/>
              <w:gridCol w:w="3157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A6533C" w:rsidRDefault="00A6533C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 w:rsidSect="00A6533C">
          <w:pgSz w:w="11906" w:h="16838"/>
          <w:pgMar w:top="1134" w:right="850" w:bottom="1134" w:left="85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536CE">
      <w:rPr>
        <w:noProof/>
        <w:color w:val="A6A6A6"/>
        <w:sz w:val="16"/>
        <w:szCs w:val="16"/>
      </w:rPr>
      <w:t>9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569F3"/>
    <w:rsid w:val="00A61320"/>
    <w:rsid w:val="00A6533C"/>
    <w:rsid w:val="00A73F1D"/>
    <w:rsid w:val="00AA43B9"/>
    <w:rsid w:val="00AE6ECF"/>
    <w:rsid w:val="00B1438C"/>
    <w:rsid w:val="00B4094C"/>
    <w:rsid w:val="00B67056"/>
    <w:rsid w:val="00B85991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42BE6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6897-693E-4E1C-8EAD-092E4543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</Pages>
  <Words>7317</Words>
  <Characters>41712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Азимова Ольга Закирджановна</cp:lastModifiedBy>
  <cp:revision>81</cp:revision>
  <cp:lastPrinted>2016-09-27T11:06:00Z</cp:lastPrinted>
  <dcterms:created xsi:type="dcterms:W3CDTF">2012-09-11T12:39:00Z</dcterms:created>
  <dcterms:modified xsi:type="dcterms:W3CDTF">2016-10-05T08:10:00Z</dcterms:modified>
</cp:coreProperties>
</file>