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54" w:rsidRDefault="00C274E5" w:rsidP="00A42F54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A42F54">
        <w:rPr>
          <w:rFonts w:ascii="Times New Roman" w:hAnsi="Times New Roman" w:cs="Times New Roman"/>
          <w:bCs w:val="0"/>
          <w:iCs w:val="0"/>
          <w:szCs w:val="24"/>
        </w:rPr>
        <w:t xml:space="preserve">Приложение № </w:t>
      </w:r>
      <w:r w:rsidR="00A42F54">
        <w:rPr>
          <w:rFonts w:ascii="Times New Roman" w:hAnsi="Times New Roman" w:cs="Times New Roman"/>
          <w:bCs w:val="0"/>
          <w:iCs w:val="0"/>
          <w:szCs w:val="24"/>
        </w:rPr>
        <w:t>3</w:t>
      </w:r>
      <w:bookmarkStart w:id="0" w:name="_GoBack"/>
      <w:bookmarkEnd w:id="0"/>
    </w:p>
    <w:p w:rsidR="00A42F54" w:rsidRDefault="00A42F54" w:rsidP="00A42F54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к приказу № _______ от «____» ________2016г. </w:t>
      </w:r>
    </w:p>
    <w:p w:rsidR="001B6666" w:rsidRPr="00FF651F" w:rsidRDefault="001B6666" w:rsidP="00A42F54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2F4E44" w:rsidRPr="003414FD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E3777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в лице Заместителя генерального директора по капитальному строительству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Фистюлевой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Алии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Тахировны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доверенности № ____ от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Стороны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, на основании </w:t>
      </w:r>
      <w:r w:rsidR="00CD1FD7">
        <w:rPr>
          <w:b/>
          <w:szCs w:val="24"/>
        </w:rPr>
        <w:t>протокола о результатах закупочной процедуры № ______</w:t>
      </w:r>
      <w:r w:rsidR="00C274E5" w:rsidRPr="00CD1FD7">
        <w:rPr>
          <w:b/>
          <w:szCs w:val="24"/>
        </w:rPr>
        <w:t xml:space="preserve"> от </w:t>
      </w:r>
      <w:r w:rsidR="002E45F9" w:rsidRPr="00CD1FD7">
        <w:rPr>
          <w:b/>
          <w:szCs w:val="24"/>
        </w:rPr>
        <w:t xml:space="preserve">«___» ______ 20__г. </w:t>
      </w:r>
      <w:r w:rsidR="00C274E5" w:rsidRPr="00CD1FD7">
        <w:rPr>
          <w:b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Объект строительства: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277D5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выполнить следующие этапы 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строительства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7C6434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E3777D" w:rsidRPr="00E3777D" w:rsidRDefault="003414FD" w:rsidP="00E3777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3414FD" w:rsidRPr="003414FD" w:rsidRDefault="00E3777D" w:rsidP="00E3777D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A70394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Техническим заданием</w:t>
      </w:r>
      <w:r w:rsidR="003C6936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CF3BC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>1.4.2. приостанавливает выполнение работ по Договору до</w:t>
      </w:r>
      <w:r w:rsidR="00947CC7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54242F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A2D2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54242F">
        <w:rPr>
          <w:rFonts w:ascii="Times New Roman" w:hAnsi="Times New Roman" w:cs="Times New Roman"/>
          <w:bCs w:val="0"/>
          <w:iCs w:val="0"/>
          <w:szCs w:val="24"/>
        </w:rPr>
        <w:t xml:space="preserve">является ориентировочной,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D6526B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CD1FD7">
        <w:rPr>
          <w:b/>
          <w:szCs w:val="24"/>
        </w:rPr>
        <w:t>протоколом о результатах закупочной процедуры № ______</w:t>
      </w:r>
      <w:r w:rsidR="00CD1FD7" w:rsidRPr="00CD1FD7">
        <w:rPr>
          <w:b/>
          <w:szCs w:val="24"/>
        </w:rPr>
        <w:t xml:space="preserve"> от «___» ______ 20__г. </w:t>
      </w:r>
      <w:r w:rsidRPr="00A50095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и составляет: ______________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_______________(_______________________) руб. ___ коп.  </w:t>
      </w:r>
    </w:p>
    <w:p w:rsidR="002966EF" w:rsidRPr="00CD1FD7" w:rsidRDefault="002966EF" w:rsidP="00CD1FD7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2.1.1. Окончательная с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тоимость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Pr="00937405">
        <w:t xml:space="preserve">каждому этапу и Договору в целом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по результатам </w:t>
      </w:r>
      <w:r>
        <w:t>фактического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Подрядчиком на основании </w:t>
      </w:r>
      <w:r>
        <w:t xml:space="preserve">предоставленных Подрядчиком и согласованных Заказчиком протоколов согласования стоимости и/или </w:t>
      </w:r>
      <w:r w:rsidRPr="00937405">
        <w:t xml:space="preserve">сметной документации на выполненные работы по соответствующему этапу или по Договору в целом </w:t>
      </w:r>
      <w:r>
        <w:t>путем подписания Сторонами дополнительных соглашений.</w:t>
      </w:r>
    </w:p>
    <w:p w:rsidR="003414FD" w:rsidRPr="003414FD" w:rsidRDefault="0036288A" w:rsidP="003414FD">
      <w:pPr>
        <w:ind w:firstLine="708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2.1.2.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В стоимость работ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, указанную в п.</w:t>
      </w:r>
      <w:r w:rsidR="00A74BB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2.1 настоящего Договора,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включены все расходы Подрядчика, связанные с получением необходимых разрешений и согласований уполномоченных органов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,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организаций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и заинтересованных лиц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и результатов инженерных изысканий по Объекту в соответствии со ст.</w:t>
      </w:r>
      <w:r w:rsidR="00A74BB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A74BB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4E709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дополнительно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по Этапу 1,</w:t>
      </w:r>
      <w:r w:rsidR="002E45F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2 в случае, если предоставление Заказчиком исходных данных предусмотрено 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и/или 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 xml:space="preserve">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необходимые для выполнения работ по настоящему Договору.</w:t>
      </w:r>
    </w:p>
    <w:p w:rsidR="003414FD" w:rsidRDefault="003414FD" w:rsidP="003414FD">
      <w:pPr>
        <w:rPr>
          <w:rFonts w:ascii="Times New Roman" w:hAnsi="Times New Roman" w:cs="Times New Roman"/>
          <w:b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A14B80">
        <w:rPr>
          <w:rFonts w:ascii="Times New Roman" w:hAnsi="Times New Roman" w:cs="Times New Roman"/>
          <w:bCs w:val="0"/>
          <w:iCs w:val="0"/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3414FD">
        <w:rPr>
          <w:rFonts w:ascii="Times New Roman" w:hAnsi="Times New Roman" w:cs="Times New Roman"/>
          <w:bCs w:val="0"/>
          <w:szCs w:val="24"/>
        </w:rPr>
        <w:t>.</w:t>
      </w:r>
      <w:r w:rsidR="00985515">
        <w:rPr>
          <w:rFonts w:ascii="Times New Roman" w:hAnsi="Times New Roman" w:cs="Times New Roman"/>
          <w:bCs w:val="0"/>
          <w:szCs w:val="24"/>
        </w:rPr>
        <w:t xml:space="preserve"> Подрядчик несет ответственность за действия и результаты работ п</w:t>
      </w:r>
      <w:r w:rsidR="008A649A">
        <w:rPr>
          <w:rFonts w:ascii="Times New Roman" w:hAnsi="Times New Roman" w:cs="Times New Roman"/>
          <w:bCs w:val="0"/>
          <w:szCs w:val="24"/>
        </w:rPr>
        <w:t>ривлеченных сил (субподрядчиков</w:t>
      </w:r>
      <w:r w:rsidR="00985515">
        <w:rPr>
          <w:rFonts w:ascii="Times New Roman" w:hAnsi="Times New Roman" w:cs="Times New Roman"/>
          <w:bCs w:val="0"/>
          <w:szCs w:val="24"/>
        </w:rPr>
        <w:t>).</w:t>
      </w:r>
    </w:p>
    <w:p w:rsidR="00D362F6" w:rsidRDefault="00D362F6" w:rsidP="00D362F6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181199">
        <w:rPr>
          <w:rFonts w:ascii="Times New Roman" w:hAnsi="Times New Roman" w:cs="Times New Roman"/>
          <w:bCs w:val="0"/>
          <w:iCs w:val="0"/>
          <w:szCs w:val="24"/>
        </w:rPr>
        <w:t>Выполнить проектно-изыскательские работы на основании исходных данных в соответствии с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 Заданием </w:t>
      </w:r>
      <w:r w:rsidR="00565063" w:rsidRPr="00565063">
        <w:rPr>
          <w:rFonts w:ascii="Times New Roman" w:hAnsi="Times New Roman" w:cs="Times New Roman"/>
          <w:bCs w:val="0"/>
          <w:iCs w:val="0"/>
          <w:szCs w:val="24"/>
        </w:rPr>
        <w:t>на проведение работ по получению разрешительной документации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Техническим заданием,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действующими строительными нормами и правилами (СНиП), инструкциями, государственными стандартами и иными нормативно-правовыми актами РФ,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сдать</w:t>
      </w:r>
      <w:r w:rsidR="0056506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Заказчику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разработанную Проектно-сметную документацию и результаты инженерных изысканий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сроки, установленные Графиком выполнения работ (Приложение № 3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301421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известить друг друга об их приостановлении и в 15-дневный срок с момента извещения рассмотреть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>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изыска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дополнительных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DC5FE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 49 Градостроительного кодекса РФ, обеспечить прохождение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AC1C2C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C1C2C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1B6666" w:rsidRPr="00E3777D" w:rsidRDefault="003414FD" w:rsidP="009968C9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1B6666" w:rsidRDefault="001B6666" w:rsidP="001B666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1B6666" w:rsidRPr="003414FD" w:rsidRDefault="001B6666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8F614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8F614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F614E" w:rsidRPr="008F614E" w:rsidRDefault="008F614E" w:rsidP="008F614E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8F614E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CD1FD7">
      <w:pPr>
        <w:spacing w:before="120"/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A6AFB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962883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 xml:space="preserve">6.1. </w:t>
      </w:r>
      <w:r w:rsidR="00962883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3414FD" w:rsidRDefault="003414FD" w:rsidP="008F37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6.3</w:t>
      </w:r>
      <w:r w:rsidR="00A3006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 и п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70E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выполнения </w:t>
      </w:r>
      <w:r w:rsidR="00007708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>Этап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у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1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Default="008F37E0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9E1E61" w:rsidRPr="006132B3">
        <w:t>Подрядчик в процессе выполнения работ по Этапу 1 по мере получения разрешительной документации</w:t>
      </w:r>
      <w:r w:rsidR="009E1E61">
        <w:t xml:space="preserve"> и результатов инженерных изысканий</w:t>
      </w:r>
      <w:r w:rsidR="009E1E61" w:rsidRPr="006132B3">
        <w:t>, предусмотренн</w:t>
      </w:r>
      <w:r w:rsidR="009E1E61">
        <w:t>ых</w:t>
      </w:r>
      <w:r w:rsidR="009E1E61" w:rsidRPr="006132B3">
        <w:t xml:space="preserve"> п. </w:t>
      </w:r>
      <w:r w:rsidR="009968C9">
        <w:t>5</w:t>
      </w:r>
      <w:r w:rsidR="009E1E61" w:rsidRPr="006132B3">
        <w:t xml:space="preserve"> Приложения № 1 к настоящему Договору, п</w:t>
      </w:r>
      <w:r w:rsidR="009E1E61">
        <w:t>редставляет</w:t>
      </w:r>
      <w:r w:rsidR="009E1E61" w:rsidRPr="006132B3">
        <w:t xml:space="preserve"> Заказчику </w:t>
      </w:r>
      <w:r w:rsidR="009E1E61">
        <w:t xml:space="preserve">на рассмотрение и согласование </w:t>
      </w:r>
      <w:r w:rsidR="009E1E61" w:rsidRPr="006132B3">
        <w:t>разрешительную документацию</w:t>
      </w:r>
      <w:r w:rsidR="009E1E61">
        <w:t xml:space="preserve"> с протоколами согласования стоимости работ по её получению, </w:t>
      </w:r>
      <w:r w:rsidR="009E1E61" w:rsidRPr="00EE7192">
        <w:t>фиксирующи</w:t>
      </w:r>
      <w:r w:rsidR="009E1E61">
        <w:t>ми</w:t>
      </w:r>
      <w:r w:rsidR="009E1E61" w:rsidRPr="00EE7192">
        <w:t xml:space="preserve"> объем фактически переданной </w:t>
      </w:r>
      <w:r w:rsidR="009E1E61">
        <w:t xml:space="preserve">Подрядчиком </w:t>
      </w:r>
      <w:r w:rsidR="009E1E61" w:rsidRPr="00EE7192">
        <w:t>документации и затраты на её получение</w:t>
      </w:r>
      <w:r w:rsidR="009E1E61">
        <w:t>, а также результаты инженерных изысканий</w:t>
      </w:r>
      <w:r w:rsidR="009E1E61" w:rsidRPr="00495FA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со сметой о стоимости фактически выполненных Подрядчиком изыскательских работ по Этапу 1, фиксирующей объем и стоимость работ</w:t>
      </w:r>
      <w:r w:rsidR="009E1E61">
        <w:t>.</w:t>
      </w:r>
    </w:p>
    <w:p w:rsidR="009E1E61" w:rsidRDefault="009E1E61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согласовать их и направить Подрядчику два экземпляра проекта дополнительного соглашения об </w:t>
      </w:r>
      <w:r>
        <w:t>установлении стоимости работ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9E1E61" w:rsidRDefault="00C65D55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отказа, предусмотренного п. 6.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 xml:space="preserve">.2 настоящего Договора,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переданной разрешительной документации, протоколов </w:t>
      </w:r>
      <w:r w:rsidR="009E1E61">
        <w:t xml:space="preserve">согласования стоимости работ,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изысканий, сметы о стоимости изыскательских работ по Этапу 1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t>6.3.</w:t>
      </w:r>
      <w:r w:rsidR="00CD1FD7">
        <w:t>4</w:t>
      </w:r>
      <w: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</w:t>
      </w:r>
      <w:r w:rsidR="00775F9E">
        <w:t xml:space="preserve">представить </w:t>
      </w:r>
      <w:r>
        <w:t xml:space="preserve">в адрес Заказчика подписанные со своей стороны дополнительные соглашения, два экземпляра </w:t>
      </w:r>
      <w:r w:rsidRPr="008432A6">
        <w:t>акт</w:t>
      </w:r>
      <w:r>
        <w:t>а</w:t>
      </w:r>
      <w:r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, счет-фактуру.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rPr>
          <w:noProof/>
        </w:rPr>
        <w:t>6.3.</w:t>
      </w:r>
      <w:r w:rsidR="00CD1FD7">
        <w:rPr>
          <w:noProof/>
        </w:rPr>
        <w:t>5</w:t>
      </w:r>
      <w:r>
        <w:rPr>
          <w:noProof/>
        </w:rPr>
        <w:t xml:space="preserve">. </w:t>
      </w: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документов, указанных в  п. 6.3.</w:t>
      </w:r>
      <w:r w:rsidR="00CD1FD7">
        <w:t>4</w:t>
      </w:r>
      <w:r>
        <w:t xml:space="preserve"> настоящего</w:t>
      </w:r>
      <w:r w:rsidRPr="003414FD">
        <w:t xml:space="preserve"> </w:t>
      </w:r>
      <w:r>
        <w:t xml:space="preserve">Договора,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</w:t>
      </w:r>
      <w:r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9E1E61" w:rsidRDefault="009E1E61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 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результатам инженерных изысканий и Проектно-сметной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</w:t>
      </w:r>
      <w:r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</w:t>
      </w:r>
      <w:r w:rsidR="007A7C2F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 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По 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завершении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проектных работ по Этапу 2 Подрядчик представляет Заказчику на рассмотрение и согласование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один экземпляр разработанной Проектно-сметной документации и результаты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360844" w:rsidRPr="00C051FF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6.4.1 настоящего Договора,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обязан рассмотреть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и 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согласовывает Проектно-сметную документацию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результаты инженерных изысканий по Этапу 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только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наличия 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 xml:space="preserve">, предусмотренных п. </w:t>
      </w:r>
      <w:r w:rsidR="00F26238">
        <w:t>5</w:t>
      </w:r>
      <w:r>
        <w:t xml:space="preserve"> Приложения № 1 к настоящему Договору.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результатов инженерных изысканий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Повторное согласование Заказчиком Проектно-сметной документации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>с исправленными недостатками осуществляется в порядке, предусмотренном п. 6.4.1 настоящего Договора.</w:t>
      </w:r>
    </w:p>
    <w:p w:rsidR="00360844" w:rsidRPr="00C8324D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6.4.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 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установленном п. 6.3.1 – 6.3.2 настоящего Договора,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извещения в соответствии с п. 6.4.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 обеспечивает положительное прохождение экспертизы. 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>5.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В течение 5 (пяти) рабочих дней с момента получения от Заказчика извещения о согласовании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п. 6.4.2 настоящего Договора либо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6.4.4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выполненных Подрядчиком проектн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фиксирующую объем и стоимость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6.4.6. Заказчик в течение 10 (десяти) рабочих дней со дня получения 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обязан согласовать её и направить Подрядчику два экземпляра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2, </w:t>
      </w:r>
      <w:r w:rsidR="00775F9E">
        <w:t>представить в адрес</w:t>
      </w:r>
      <w:r w:rsidR="00775F9E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70034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счет-фактуру.</w:t>
      </w:r>
    </w:p>
    <w:p w:rsidR="00360844" w:rsidRDefault="00360844" w:rsidP="00360844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BB55D4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3414FD" w:rsidRPr="003414FD" w:rsidRDefault="0070034E" w:rsidP="00CD1FD7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>5</w:t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выполненных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1 или акта сдачи-приемки проектно-изыскательских работ по Этапу 2, в зависимости от того, как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ая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C7EFB" w:rsidRPr="001C7EFB" w:rsidRDefault="001C7EFB" w:rsidP="001C7EFB">
      <w:pPr>
        <w:spacing w:before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C7EFB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C7EFB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C7EFB" w:rsidRPr="001C7EFB" w:rsidRDefault="001C7EFB" w:rsidP="001C7EFB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C7EFB" w:rsidRPr="001C7EFB" w:rsidRDefault="001C7EFB" w:rsidP="001C7EFB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работы по Этапу 2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 xml:space="preserve">• подписанного обеими Сторонами дополнительного соглашения об окончательной стоимости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 w:val="0"/>
          <w:iCs w:val="0"/>
          <w:szCs w:val="20"/>
        </w:rPr>
      </w:pPr>
      <w:r w:rsidRPr="001C7EFB">
        <w:rPr>
          <w:rFonts w:ascii="Times New Roman" w:hAnsi="Times New Roman" w:cs="Times New Roman"/>
          <w:bCs w:val="0"/>
          <w:iCs w:val="0"/>
          <w:szCs w:val="20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</w:t>
      </w:r>
      <w:r w:rsidRPr="001C7EFB">
        <w:rPr>
          <w:rFonts w:ascii="Times New Roman" w:hAnsi="Times New Roman" w:cs="Times New Roman"/>
          <w:szCs w:val="24"/>
        </w:rPr>
        <w:t xml:space="preserve"> по Этапу 1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szCs w:val="20"/>
        </w:rPr>
        <w:t>5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Приложения № 1 к настоящему Договору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>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="006E4B0E"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="006E4B0E"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6E4B0E"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E3777D" w:rsidRPr="001C7EFB" w:rsidRDefault="00E3777D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="006E4B0E"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="006E4B0E"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6E4B0E"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7.1.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="006E4B0E"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="006E4B0E"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6E4B0E"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CD2132" w:rsidRDefault="00CD2132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CD2132" w:rsidRDefault="00CD2132" w:rsidP="00CD2132">
      <w:pPr>
        <w:ind w:firstLine="708"/>
        <w:rPr>
          <w:b/>
          <w:i/>
          <w:noProof/>
          <w:color w:val="C00000"/>
        </w:rPr>
      </w:pPr>
      <w: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 xml:space="preserve">* Ниже приведен порядок расчетов </w:t>
      </w:r>
      <w:r>
        <w:rPr>
          <w:b/>
          <w:i/>
          <w:noProof/>
          <w:color w:val="C00000"/>
        </w:rPr>
        <w:t>для договоров, заключаемых по объектам основной инвестиционной программы 201_ года, по объектам для создания технической возможности ТП по заявителям до 15 кВа,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ПРЕДПРИНИМАТЕЛЬСТВА: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30 (тридцати) календарных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дней с момента получения соответствующего счета Подрядчика на основании: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 работы по Этапу 2 в течение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30 (тридцати) календарных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дней с момента получения соответствующего счета Подрядчика на основании: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 xml:space="preserve">фиксирующими передачу Заказчику всего объема разрешительной документации и результатов инженерных изысканий, предусмотренного п.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CD2132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CD2132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CD2132" w:rsidRPr="00136B0E" w:rsidRDefault="00CD2132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C55915">
        <w:rPr>
          <w:rFonts w:ascii="Times New Roman" w:hAnsi="Times New Roman" w:cs="Times New Roman"/>
          <w:bCs w:val="0"/>
          <w:iCs w:val="0"/>
          <w:szCs w:val="24"/>
        </w:rPr>
        <w:t xml:space="preserve"> ориентировочной</w:t>
      </w:r>
      <w:r w:rsidR="00C5591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1B6666" w:rsidRPr="003414FD" w:rsidRDefault="001B6666" w:rsidP="009968C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2D1040" w:rsidRPr="00E3777D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CD5AB0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ind w:firstLine="567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543CC6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="008A089C"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8A5CEE" w:rsidRPr="00937405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8A5CEE">
        <w:t>п. 11.1</w:t>
      </w:r>
      <w:r w:rsidR="008A5CEE" w:rsidRPr="00937405">
        <w:t xml:space="preserve"> настоящего Договора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AE5F5D" w:rsidRDefault="00AE5F5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AE5F5D">
        <w:rPr>
          <w:rFonts w:ascii="Times New Roman" w:hAnsi="Times New Roman" w:cs="Times New Roman"/>
          <w:bCs w:val="0"/>
          <w:iCs w:val="0"/>
          <w:szCs w:val="24"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lastRenderedPageBreak/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noProof/>
          <w:szCs w:val="20"/>
        </w:rPr>
        <w:t>8.9. Подрядчик н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есет ответственность </w:t>
      </w:r>
      <w:r w:rsidRPr="00E3777D">
        <w:rPr>
          <w:rFonts w:ascii="Times New Roman" w:hAnsi="Times New Roman" w:cs="Times New Roman"/>
          <w:noProof/>
          <w:szCs w:val="20"/>
        </w:rPr>
        <w:t xml:space="preserve">в соответствии с действующим законодательством РФ 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за нарушения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 и охраны труда.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нарушением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A7523F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 xml:space="preserve">и принятого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1B6666" w:rsidRPr="00BE154F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1B666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154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8A5CEE" w:rsidRPr="003414FD" w:rsidRDefault="008A5CEE" w:rsidP="00CD1FD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3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4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5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6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7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8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изменения условий раздела 1</w:t>
      </w:r>
      <w:r w:rsidR="006E4B0E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 Стороны обязаны в течение 5 (пяти) </w:t>
      </w:r>
      <w:r w:rsidR="00CE7D54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12.9.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6E4B0E" w:rsidRDefault="006E4B0E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6E4B0E" w:rsidRPr="009659DC" w:rsidRDefault="006E4B0E" w:rsidP="006E4B0E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Pr="009659DC">
        <w:rPr>
          <w:rFonts w:ascii="Times New Roman" w:hAnsi="Times New Roman" w:cs="Times New Roman"/>
          <w:b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/>
          <w:bCs w:val="0"/>
          <w:iCs w:val="0"/>
          <w:szCs w:val="24"/>
        </w:rPr>
        <w:t>. УСЛОВИЯ О КОНФЕДЕНЦИАЛЬНОЙ ИНФОРМАЦИИ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 xml:space="preserve">.1. Если для выполнения работ по настоящему Договору Заказчиком Подрядчику предоставляется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 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>.2. 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 xml:space="preserve">.3. 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 xml:space="preserve">.4. По письменному требованию Заказчика Подрядчик обязуется незамедлительно возвратить всю Конфиденциальную информацию, предоставленную ему Заказчиком,  уничтожить все копии Конфиденциальной информации (в том числе, удалить всю Конфиденциальную 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lastRenderedPageBreak/>
        <w:t>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>.5. Подрядчик, нарушивший условия о конфиденциальности, предусмотренные настоящим разделом Договора, возмещает Заказчику в полном объеме убытки, причиненные таким нарушением.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>.6. 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6E4B0E" w:rsidRPr="003414FD" w:rsidRDefault="006E4B0E" w:rsidP="006E4B0E">
      <w:pPr>
        <w:tabs>
          <w:tab w:val="left" w:pos="3907"/>
        </w:tabs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</w:t>
      </w:r>
      <w:r w:rsidR="006E4B0E">
        <w:rPr>
          <w:rFonts w:ascii="Times New Roman" w:hAnsi="Times New Roman" w:cs="Times New Roman"/>
          <w:b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E0781D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6E4B0E" w:rsidRDefault="006E4B0E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6E4B0E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ПАО Сбербанк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P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Задание на проведение работ по получению разрешительной документации.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17329F" w:rsidRDefault="003414FD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8450BF" w:rsidRPr="0017329F" w:rsidRDefault="0017329F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17329F" w:rsidRPr="008450BF" w:rsidRDefault="0017329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1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405CF7" w:rsidRDefault="0017329F" w:rsidP="0017329F">
      <w:pPr>
        <w:numPr>
          <w:ilvl w:val="1"/>
          <w:numId w:val="51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составление </w:t>
      </w:r>
      <w:r w:rsidRPr="00405CF7">
        <w:rPr>
          <w:i/>
        </w:rPr>
        <w:t>план</w:t>
      </w:r>
      <w:r>
        <w:rPr>
          <w:i/>
        </w:rPr>
        <w:t>а</w:t>
      </w:r>
      <w:r w:rsidRPr="00405CF7">
        <w:rPr>
          <w:i/>
        </w:rPr>
        <w:t xml:space="preserve">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i/>
        </w:rPr>
        <w:t>ческого отчета и регистрация технического отчета</w:t>
      </w:r>
      <w:r w:rsidRPr="001075AA">
        <w:rPr>
          <w:i/>
        </w:rPr>
        <w:t xml:space="preserve"> в ГАУ «Управление государственной экспертизы Ленинградской области»;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17329F" w:rsidRPr="00156AFE" w:rsidRDefault="0017329F" w:rsidP="0017329F">
      <w:pPr>
        <w:numPr>
          <w:ilvl w:val="1"/>
          <w:numId w:val="51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</w:t>
      </w:r>
      <w:r w:rsidRPr="00035778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</w:p>
    <w:p w:rsidR="0017329F" w:rsidRPr="00405CF7" w:rsidRDefault="0017329F" w:rsidP="0017329F">
      <w:pPr>
        <w:tabs>
          <w:tab w:val="left" w:pos="3408"/>
        </w:tabs>
        <w:ind w:left="284"/>
        <w:rPr>
          <w:i/>
        </w:rPr>
      </w:pPr>
      <w:r w:rsidRPr="00405CF7">
        <w:rPr>
          <w:i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17329F" w:rsidRPr="00405CF7" w:rsidRDefault="0017329F" w:rsidP="0017329F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i/>
        </w:rPr>
        <w:t>- получение от имени Заказчика решения исполнительного органа государственной власти или органа местного само</w:t>
      </w:r>
      <w:r>
        <w:rPr>
          <w:i/>
        </w:rPr>
        <w:t>управления о размещении Объекта;</w:t>
      </w:r>
    </w:p>
    <w:p w:rsidR="0017329F" w:rsidRDefault="0017329F" w:rsidP="0017329F">
      <w:pPr>
        <w:numPr>
          <w:ilvl w:val="1"/>
          <w:numId w:val="51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уведомле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строительства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- подготовка и согласование с Комитетом по природным ресурсам Ленинградской области лесной декларации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17329F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  <w:r w:rsidRPr="001F663E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заключение от имени Заказчика соглашения о согласовании места размещени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я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Объекта с приложением схемы размещения Объекта или соглашения об установлении сервитута с приложением плана, содержащего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сведения о его границах.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743230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план трассы Объекта на кадастровом плане территории, выписки из ГКН и ЕГРП на земельный участок, </w:t>
      </w:r>
      <w:r w:rsidRPr="00743230">
        <w:rPr>
          <w:i/>
        </w:rPr>
        <w:t>на котором планируется размещение Объекта</w:t>
      </w:r>
      <w:r w:rsidRPr="00743230">
        <w:rPr>
          <w:bCs w:val="0"/>
          <w:i/>
          <w:iCs w:val="0"/>
        </w:rPr>
        <w:t>;</w:t>
      </w:r>
    </w:p>
    <w:p w:rsidR="0017329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 w:rsidRPr="00743230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743230">
        <w:rPr>
          <w:i/>
        </w:rPr>
        <w:t>т.ч</w:t>
      </w:r>
      <w:proofErr w:type="spellEnd"/>
      <w:r w:rsidRPr="00743230">
        <w:rPr>
          <w:i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</w:t>
      </w:r>
      <w:r>
        <w:rPr>
          <w:i/>
        </w:rPr>
        <w:t>ажном и электронном носителе в 1</w:t>
      </w:r>
      <w:r w:rsidRPr="00743230">
        <w:rPr>
          <w:i/>
        </w:rPr>
        <w:t xml:space="preserve"> (одном) экз.);</w:t>
      </w:r>
    </w:p>
    <w:p w:rsidR="0017329F" w:rsidRPr="00787D62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>
        <w:rPr>
          <w:i/>
        </w:rPr>
        <w:t xml:space="preserve">уведомление о передаче материалов выполненных </w:t>
      </w:r>
      <w:r w:rsidRPr="001075AA">
        <w:rPr>
          <w:i/>
        </w:rPr>
        <w:t>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</w:rPr>
        <w:t>;</w:t>
      </w:r>
    </w:p>
    <w:p w:rsidR="0017329F" w:rsidRPr="00156AFE" w:rsidRDefault="0017329F" w:rsidP="0017329F">
      <w:pPr>
        <w:widowControl w:val="0"/>
        <w:numPr>
          <w:ilvl w:val="0"/>
          <w:numId w:val="55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rPr>
          <w:b/>
          <w:bCs w:val="0"/>
          <w:iCs w:val="0"/>
        </w:rPr>
      </w:pPr>
      <w:r w:rsidRPr="00156AFE">
        <w:rPr>
          <w:b/>
          <w:i/>
        </w:rPr>
        <w:t>в случа</w:t>
      </w:r>
      <w:r>
        <w:rPr>
          <w:b/>
          <w:i/>
        </w:rPr>
        <w:t>е</w:t>
      </w:r>
      <w:r w:rsidRPr="00156AFE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156AFE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>: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</w:t>
      </w:r>
      <w:r w:rsidRPr="00743230">
        <w:rPr>
          <w:i/>
        </w:rPr>
        <w:t xml:space="preserve">схема границ </w:t>
      </w:r>
      <w:r>
        <w:rPr>
          <w:i/>
        </w:rPr>
        <w:t xml:space="preserve">предполагаемых к использованию </w:t>
      </w:r>
      <w:r w:rsidRPr="00743230">
        <w:rPr>
          <w:i/>
        </w:rPr>
        <w:t xml:space="preserve">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43230">
        <w:rPr>
          <w:i/>
          <w:lang w:val="en-US"/>
        </w:rPr>
        <w:t>DWG</w:t>
      </w:r>
      <w:r>
        <w:rPr>
          <w:i/>
        </w:rPr>
        <w:t xml:space="preserve"> в 1 (одном) экз.</w:t>
      </w:r>
      <w:r w:rsidRPr="00743230">
        <w:rPr>
          <w:i/>
        </w:rPr>
        <w:t>)</w:t>
      </w:r>
      <w:r>
        <w:rPr>
          <w:i/>
        </w:rPr>
        <w:t>;</w:t>
      </w:r>
    </w:p>
    <w:p w:rsidR="0017329F" w:rsidRPr="00156AFE" w:rsidRDefault="0017329F" w:rsidP="0017329F">
      <w:pPr>
        <w:numPr>
          <w:ilvl w:val="0"/>
          <w:numId w:val="55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766134" w:rsidRDefault="00766134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AC76D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  <w:r>
        <w:rPr>
          <w:bCs w:val="0"/>
          <w:i/>
          <w:iCs w:val="0"/>
        </w:rPr>
        <w:t>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</w:t>
      </w:r>
      <w:r>
        <w:rPr>
          <w:bCs w:val="0"/>
          <w:i/>
          <w:iCs w:val="0"/>
        </w:rPr>
        <w:t xml:space="preserve"> </w:t>
      </w:r>
      <w:r w:rsidRPr="00743230">
        <w:rPr>
          <w:bCs w:val="0"/>
          <w:i/>
          <w:iCs w:val="0"/>
        </w:rPr>
        <w:t xml:space="preserve">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17329F" w:rsidRPr="001C38A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/>
          <w:bCs w:val="0"/>
          <w:i/>
          <w:iCs w:val="0"/>
        </w:rPr>
      </w:pPr>
      <w:r w:rsidRPr="001C38AF">
        <w:rPr>
          <w:b/>
          <w:bCs w:val="0"/>
          <w:i/>
          <w:iCs w:val="0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</w:t>
      </w:r>
      <w:r>
        <w:rPr>
          <w:b/>
          <w:bCs w:val="0"/>
          <w:i/>
          <w:iCs w:val="0"/>
        </w:rPr>
        <w:t>у:</w:t>
      </w:r>
    </w:p>
    <w:p w:rsidR="0017329F" w:rsidRPr="001075AA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1075AA">
        <w:rPr>
          <w:bCs w:val="0"/>
          <w:i/>
          <w:iCs w:val="0"/>
        </w:rPr>
        <w:t>соглашение о согласовании места размещени</w:t>
      </w:r>
      <w:r>
        <w:rPr>
          <w:bCs w:val="0"/>
          <w:i/>
          <w:iCs w:val="0"/>
        </w:rPr>
        <w:t>я</w:t>
      </w:r>
      <w:r w:rsidRPr="001075AA">
        <w:rPr>
          <w:bCs w:val="0"/>
          <w:i/>
          <w:iCs w:val="0"/>
        </w:rPr>
        <w:t xml:space="preserve"> Объекта или соглашение об установлении сервитута.</w:t>
      </w:r>
    </w:p>
    <w:p w:rsidR="008450BF" w:rsidRPr="008450BF" w:rsidRDefault="008450BF" w:rsidP="009968C9">
      <w:pPr>
        <w:pStyle w:val="a6"/>
        <w:numPr>
          <w:ilvl w:val="0"/>
          <w:numId w:val="16"/>
        </w:numPr>
      </w:pPr>
      <w:r w:rsidRPr="0017329F">
        <w:rPr>
          <w:b/>
        </w:rPr>
        <w:t>Организация-Заказчик:</w:t>
      </w:r>
      <w:r w:rsidR="0017329F">
        <w:t xml:space="preserve"> </w:t>
      </w:r>
      <w:r w:rsidRPr="008450BF"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450B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17329F" w:rsidRDefault="0017329F" w:rsidP="008450BF">
      <w:pPr>
        <w:jc w:val="righ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0779EA" w:rsidRDefault="000779EA" w:rsidP="0017329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D42E06" w:rsidRPr="0017329F" w:rsidRDefault="00D42E06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</w:t>
      </w: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D42E06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D42E06" w:rsidRPr="008450B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D42E06" w:rsidRPr="008450BF" w:rsidRDefault="00D42E06" w:rsidP="00D42E06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2"/>
      </w: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D42E06" w:rsidRPr="008450BF" w:rsidRDefault="00D42E06" w:rsidP="00D42E06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34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земельного участка под размещение Объекта и постановка на государственный кадастровый учет;</w:t>
      </w:r>
    </w:p>
    <w:p w:rsidR="00D42E06" w:rsidRPr="009762CF" w:rsidRDefault="00D42E06" w:rsidP="00D42E06">
      <w:pPr>
        <w:numPr>
          <w:ilvl w:val="1"/>
          <w:numId w:val="57"/>
        </w:numPr>
        <w:ind w:left="284" w:hanging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проекта планировки и проекта межевания территории;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 в соответствии с нормами действующего законодательства;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</w:t>
      </w:r>
      <w:r w:rsidRPr="009762CF">
        <w:rPr>
          <w:rFonts w:ascii="Times New Roman" w:hAnsi="Times New Roman" w:cs="Times New Roman"/>
          <w:b/>
          <w:szCs w:val="24"/>
        </w:rPr>
        <w:t>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уведомление Заказчика о проектировании Объекта на землях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lastRenderedPageBreak/>
        <w:t>- получение проектной документации лесного участка;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ведомости материально-денежной оценки;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Комитетом по природным ресурсам Ленинградской области лесной декларации,</w:t>
      </w:r>
    </w:p>
    <w:p w:rsidR="00D42E06" w:rsidRPr="009762CF" w:rsidRDefault="00D42E06" w:rsidP="00D42E06">
      <w:pPr>
        <w:widowControl w:val="0"/>
        <w:numPr>
          <w:ilvl w:val="0"/>
          <w:numId w:val="56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szCs w:val="20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9762CF">
        <w:rPr>
          <w:rFonts w:ascii="Times New Roman" w:hAnsi="Times New Roman" w:cs="Times New Roman"/>
          <w:i/>
          <w:szCs w:val="20"/>
        </w:rPr>
        <w:t xml:space="preserve"> </w:t>
      </w:r>
      <w:r w:rsidRPr="009762CF">
        <w:rPr>
          <w:rFonts w:ascii="Times New Roman" w:hAnsi="Times New Roman" w:cs="Times New Roman"/>
          <w:b/>
          <w:i/>
          <w:szCs w:val="20"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405CF7" w:rsidRDefault="00D42E06" w:rsidP="00D42E06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0"/>
        </w:rPr>
        <w:t>- получение от имени Заказчика договора аренды земельного уча</w:t>
      </w:r>
      <w:r>
        <w:rPr>
          <w:rFonts w:ascii="Times New Roman" w:hAnsi="Times New Roman" w:cs="Times New Roman"/>
          <w:i/>
          <w:szCs w:val="20"/>
        </w:rPr>
        <w:t>стка на период проведения строительно-монтажных работ.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 xml:space="preserve">технический отчёт по выполненным инженерно-геодезическим изысканиям (в </w:t>
      </w:r>
      <w:proofErr w:type="spellStart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т.ч</w:t>
      </w:r>
      <w:proofErr w:type="spellEnd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tabs>
          <w:tab w:val="left" w:pos="340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 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проект планировки и проект межевания территории, утвержденный решение главы администрации;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кадастровый паспорт земельного участка (выписка из ГКН);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градостроительный план земельного участка, Постановление об утверждении градостроительного плана;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фонда:</w:t>
      </w:r>
    </w:p>
    <w:p w:rsidR="00AC76D9" w:rsidRDefault="00AC76D9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AC76D9">
        <w:rPr>
          <w:rFonts w:ascii="Times New Roman" w:hAnsi="Times New Roman" w:cs="Times New Roman"/>
          <w:i/>
          <w:szCs w:val="24"/>
        </w:rPr>
        <w:t xml:space="preserve">уведомление Заказчика о </w:t>
      </w:r>
      <w:r>
        <w:rPr>
          <w:rFonts w:ascii="Times New Roman" w:hAnsi="Times New Roman" w:cs="Times New Roman"/>
          <w:i/>
          <w:szCs w:val="24"/>
        </w:rPr>
        <w:t>проектировании</w:t>
      </w:r>
      <w:r w:rsidRPr="00AC76D9">
        <w:rPr>
          <w:rFonts w:ascii="Times New Roman" w:hAnsi="Times New Roman" w:cs="Times New Roman"/>
          <w:i/>
          <w:szCs w:val="24"/>
        </w:rPr>
        <w:t xml:space="preserve"> Объекта на землях лесного фонда;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проектная документация лесного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кадастровая выписка земельного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межевой план в бумажном и электронном виде;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ведомость материально-денежной оценки (МДО)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 освоения лесов;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заключение Комитета по природным ресурсам Ленинградской области о прохождении проекта </w:t>
      </w:r>
      <w:r w:rsidRPr="009762CF">
        <w:rPr>
          <w:rFonts w:ascii="Times New Roman" w:hAnsi="Times New Roman" w:cs="Times New Roman"/>
          <w:i/>
          <w:szCs w:val="24"/>
        </w:rPr>
        <w:lastRenderedPageBreak/>
        <w:t xml:space="preserve">освоения лесов государственной экспертизы; </w:t>
      </w:r>
    </w:p>
    <w:p w:rsidR="00D42E06" w:rsidRPr="001075AA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заключение от имени Заказчика 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дог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овора аренды земельного участка на период строительно-монтажных работ.</w:t>
      </w:r>
    </w:p>
    <w:p w:rsidR="00D42E06" w:rsidRPr="008450BF" w:rsidRDefault="00D42E06" w:rsidP="00D42E06">
      <w:pPr>
        <w:pStyle w:val="a6"/>
        <w:numPr>
          <w:ilvl w:val="0"/>
          <w:numId w:val="57"/>
        </w:numPr>
      </w:pPr>
      <w:r w:rsidRPr="0017329F">
        <w:rPr>
          <w:b/>
        </w:rPr>
        <w:t>Организация-Заказчик:</w:t>
      </w:r>
      <w:r>
        <w:t xml:space="preserve"> </w:t>
      </w:r>
      <w:r w:rsidRPr="008450BF">
        <w:t>АО «ЛОЭСК».</w:t>
      </w:r>
      <w:r>
        <w:t xml:space="preserve"> 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D42E06" w:rsidRPr="008450BF" w:rsidRDefault="00D42E06" w:rsidP="00D42E06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17329F" w:rsidRDefault="0017329F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120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кол-во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</w:t>
      </w: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, КЛ-0,4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 xml:space="preserve">(КТП, БКТП, </w:t>
      </w:r>
      <w:proofErr w:type="spellStart"/>
      <w:r w:rsidRPr="004B3162">
        <w:rPr>
          <w:b/>
          <w:i/>
          <w:szCs w:val="24"/>
        </w:rPr>
        <w:t>БКТПб</w:t>
      </w:r>
      <w:proofErr w:type="spellEnd"/>
      <w:r w:rsidRPr="004B3162">
        <w:rPr>
          <w:b/>
          <w:i/>
          <w:szCs w:val="24"/>
        </w:rPr>
        <w:t>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</w:t>
      </w:r>
      <w:proofErr w:type="spellStart"/>
      <w:r w:rsidRPr="004B3162">
        <w:rPr>
          <w:i/>
          <w:szCs w:val="24"/>
        </w:rPr>
        <w:t>БКТПб</w:t>
      </w:r>
      <w:proofErr w:type="spellEnd"/>
      <w:r w:rsidRPr="004B3162">
        <w:rPr>
          <w:i/>
          <w:szCs w:val="24"/>
        </w:rPr>
        <w:t xml:space="preserve">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количество </w:t>
      </w:r>
      <w:proofErr w:type="spellStart"/>
      <w:r w:rsidRPr="004B3162">
        <w:rPr>
          <w:i/>
          <w:szCs w:val="24"/>
        </w:rPr>
        <w:t>перезаводимых</w:t>
      </w:r>
      <w:proofErr w:type="spellEnd"/>
      <w:r w:rsidRPr="004B3162">
        <w:rPr>
          <w:i/>
          <w:szCs w:val="24"/>
        </w:rPr>
        <w:t xml:space="preserve">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 xml:space="preserve">РУ-6(10)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 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>», проект согласовать с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 xml:space="preserve">» (при строительстве ТП и РТП для организации тех. учета по 0,4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, при необходимости организации учета по стороне 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 при строительстве РП и установке </w:t>
      </w:r>
      <w:proofErr w:type="spellStart"/>
      <w:r w:rsidRPr="004B3162">
        <w:rPr>
          <w:i/>
          <w:szCs w:val="24"/>
        </w:rPr>
        <w:t>реклоузеров</w:t>
      </w:r>
      <w:proofErr w:type="spellEnd"/>
      <w:r w:rsidRPr="004B3162">
        <w:rPr>
          <w:i/>
          <w:szCs w:val="24"/>
        </w:rPr>
        <w:t>)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ТП);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4B3162">
        <w:rPr>
          <w:b/>
          <w:szCs w:val="24"/>
          <w:lang w:val="en-US"/>
        </w:rPr>
        <w:t>AutoCad</w:t>
      </w:r>
      <w:proofErr w:type="spellEnd"/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59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P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8"/>
          <w:szCs w:val="18"/>
        </w:rPr>
      </w:pPr>
      <w:r w:rsidRPr="004B3162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>
        <w:rPr>
          <w:b/>
          <w:i/>
          <w:sz w:val="18"/>
          <w:szCs w:val="18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044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4B3162" w:rsidRPr="004B3162" w:rsidRDefault="004B3162" w:rsidP="004B3162">
      <w:pPr>
        <w:ind w:firstLine="142"/>
        <w:rPr>
          <w:b/>
          <w:szCs w:val="24"/>
        </w:rPr>
      </w:pPr>
      <w:r w:rsidRPr="004B3162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количество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наличия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, КЛ-0,4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т.д.),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 xml:space="preserve">(КТП, БКТП, </w:t>
      </w:r>
      <w:proofErr w:type="spellStart"/>
      <w:r w:rsidRPr="004B3162">
        <w:rPr>
          <w:b/>
          <w:i/>
          <w:szCs w:val="24"/>
        </w:rPr>
        <w:t>БКТПб</w:t>
      </w:r>
      <w:proofErr w:type="spellEnd"/>
      <w:r w:rsidRPr="004B3162">
        <w:rPr>
          <w:b/>
          <w:i/>
          <w:szCs w:val="24"/>
        </w:rPr>
        <w:t>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</w:t>
      </w:r>
      <w:proofErr w:type="spellStart"/>
      <w:r w:rsidRPr="004B3162">
        <w:rPr>
          <w:i/>
          <w:szCs w:val="24"/>
        </w:rPr>
        <w:t>БКТПб</w:t>
      </w:r>
      <w:proofErr w:type="spellEnd"/>
      <w:r w:rsidRPr="004B3162">
        <w:rPr>
          <w:i/>
          <w:szCs w:val="24"/>
        </w:rPr>
        <w:t xml:space="preserve">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работ;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количество </w:t>
      </w:r>
      <w:proofErr w:type="spellStart"/>
      <w:r w:rsidRPr="004B3162">
        <w:rPr>
          <w:i/>
          <w:szCs w:val="24"/>
        </w:rPr>
        <w:t>перезаводимых</w:t>
      </w:r>
      <w:proofErr w:type="spellEnd"/>
      <w:r w:rsidRPr="004B3162">
        <w:rPr>
          <w:i/>
          <w:szCs w:val="24"/>
        </w:rPr>
        <w:t xml:space="preserve">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 xml:space="preserve">РУ-6(10)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>,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>», проект согласовать с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 xml:space="preserve">» (при строительстве ТП и РТП для организации тех. учета по 0,4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, при необходимости организации учета по стороне 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 при строительстве РП и установке </w:t>
      </w:r>
      <w:proofErr w:type="spellStart"/>
      <w:r w:rsidRPr="004B3162">
        <w:rPr>
          <w:i/>
          <w:szCs w:val="24"/>
        </w:rPr>
        <w:t>реклоузеров</w:t>
      </w:r>
      <w:proofErr w:type="spellEnd"/>
      <w:r w:rsidRPr="004B3162">
        <w:rPr>
          <w:i/>
          <w:szCs w:val="24"/>
        </w:rPr>
        <w:t>)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ТП),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4B3162">
        <w:rPr>
          <w:b/>
          <w:szCs w:val="24"/>
          <w:lang w:val="en-US"/>
        </w:rPr>
        <w:t>AutoCad</w:t>
      </w:r>
      <w:proofErr w:type="spellEnd"/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61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4B3162" w:rsidRDefault="004B3162" w:rsidP="004B3162">
      <w:pPr>
        <w:ind w:firstLine="540"/>
        <w:rPr>
          <w:szCs w:val="24"/>
        </w:rPr>
      </w:pPr>
      <w:r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4B3162" w:rsidRDefault="004B3162" w:rsidP="004B3162">
      <w:pPr>
        <w:ind w:firstLine="540"/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57786C" w:rsidRDefault="0057786C" w:rsidP="0057786C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свыше 15 </w:t>
                        </w:r>
                        <w:proofErr w:type="spellStart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57786C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ие Объекта (проектные решения)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F75F4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области №301 от 03.08.2015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9968C9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решения исполнительного органа государственной власти или органа местного самоуправления о размещении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ведомление Заказчика о проектировании Объекта на землях лесного фонда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(в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4E56C3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4E56C3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 w:rsidP="0057786C"/>
    <w:p w:rsidR="0057786C" w:rsidRDefault="0057786C" w:rsidP="0057786C"/>
    <w:p w:rsidR="0057786C" w:rsidRDefault="0057786C" w:rsidP="0057786C"/>
    <w:p w:rsidR="0057786C" w:rsidRPr="007A2958" w:rsidRDefault="0057786C" w:rsidP="0057786C">
      <w:r w:rsidRPr="007A2958">
        <w:br w:type="page"/>
      </w: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</w:t>
                        </w:r>
                        <w:proofErr w:type="spellStart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51021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ние Объекта (проектные решения)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проектной документации лесного участка ( 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(в случае размещения Объекта или части Объекта на земельном участке, принадлежащем на праве собственности или ином вещном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  <w:r>
        <w:rPr>
          <w:rFonts w:ascii="Calibri" w:hAnsi="Calibri" w:cs="Times New Roman"/>
          <w:bCs w:val="0"/>
          <w:iCs w:val="0"/>
          <w:color w:val="000000"/>
          <w:sz w:val="20"/>
          <w:szCs w:val="20"/>
        </w:rPr>
        <w:br w:type="page"/>
      </w:r>
    </w:p>
    <w:p w:rsidR="00B97EE3" w:rsidRPr="001A6C07" w:rsidRDefault="001A6C07" w:rsidP="003414FD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A6C07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2A2167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2A2167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свыше 15 </w:t>
                        </w:r>
                        <w:proofErr w:type="spellStart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2A2167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 w:rsidR="00D471CF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  <w:r w:rsidR="009324D9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827EDF" w:rsidP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BE6AA2" w:rsidRDefault="00BE6AA2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179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C3179" w:rsidRPr="009968C9" w:rsidRDefault="00BE6AA2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ежевание земельного участка под размещение Объекта и постановка на государственный кадастровый учет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проекта планировки и проекта межевания территории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линейного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53F0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53F0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площадного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ведомление Заказчика о проектировании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F33D0D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договора аренды земельного участка на период проведения строительно-монтажных работ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275F7A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D369B4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C20943" w:rsidRDefault="00C20943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D369B4" w:rsidRPr="007A2958" w:rsidRDefault="00D369B4" w:rsidP="00C20943">
      <w:r w:rsidRPr="007A2958">
        <w:br w:type="page"/>
      </w:r>
    </w:p>
    <w:p w:rsidR="00A43471" w:rsidRPr="002C42FE" w:rsidRDefault="002C42FE" w:rsidP="00A4347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2C42FE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A43471" w:rsidRPr="007A2958" w:rsidTr="009968C9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A43471" w:rsidRPr="007A2958" w:rsidTr="009968C9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</w:t>
                        </w:r>
                        <w:proofErr w:type="spellStart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A43471" w:rsidRPr="007A2958" w:rsidTr="009968C9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687E92" w:rsidRPr="007A2958" w:rsidTr="009968C9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Межевание земельного участка под размещение Объекта и постановка на государственный кадастровый учет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проекта планировки и проекта межевания территории (в случае размещения линейного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градостроительного плана земельного участка с Постановлением об утверждении градостроительного плана (в случае размещения площадного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проектной документации лесного участка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642947" w:rsidTr="00FF6E61">
                    <w:trPr>
                      <w:trHeight w:val="417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FF6E6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</w:t>
                        </w: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договора аренды земельного участка на период проведения строительно-монтажных работ (в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A43471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471" w:rsidRPr="007A2958" w:rsidRDefault="00A43471" w:rsidP="009968C9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A43471" w:rsidRPr="007A2958" w:rsidRDefault="00A43471" w:rsidP="009968C9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71" w:rsidRPr="007A2958" w:rsidRDefault="00A43471" w:rsidP="009968C9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A43471" w:rsidRDefault="00A43471" w:rsidP="00A43471"/>
    <w:p w:rsidR="00536DB6" w:rsidRDefault="00536DB6">
      <w:pPr>
        <w:tabs>
          <w:tab w:val="num" w:pos="1418"/>
        </w:tabs>
      </w:pPr>
    </w:p>
    <w:sectPr w:rsidR="00536DB6" w:rsidSect="003524E6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AF" w:rsidRDefault="00B85CAF" w:rsidP="003414FD">
      <w:r>
        <w:separator/>
      </w:r>
    </w:p>
  </w:endnote>
  <w:endnote w:type="continuationSeparator" w:id="0">
    <w:p w:rsidR="00B85CAF" w:rsidRDefault="00B85CAF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42F54">
      <w:rPr>
        <w:noProof/>
        <w:color w:val="A6A6A6"/>
        <w:sz w:val="16"/>
        <w:szCs w:val="16"/>
      </w:rPr>
      <w:t>20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4" w:rsidRDefault="00766134" w:rsidP="00856FD7">
    <w:pPr>
      <w:pStyle w:val="af2"/>
      <w:ind w:right="360"/>
      <w:jc w:val="center"/>
      <w:rPr>
        <w:sz w:val="16"/>
        <w:szCs w:val="16"/>
      </w:rPr>
    </w:pPr>
  </w:p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42F54">
      <w:rPr>
        <w:noProof/>
        <w:color w:val="A6A6A6"/>
        <w:sz w:val="16"/>
        <w:szCs w:val="16"/>
      </w:rPr>
      <w:t>32</w:t>
    </w:r>
    <w:r w:rsidRPr="00675493">
      <w:rPr>
        <w:color w:val="A6A6A6"/>
        <w:sz w:val="16"/>
        <w:szCs w:val="16"/>
      </w:rPr>
      <w:fldChar w:fldCharType="end"/>
    </w:r>
  </w:p>
  <w:p w:rsidR="00766134" w:rsidRDefault="00766134" w:rsidP="00856FD7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AF" w:rsidRDefault="00B85CAF" w:rsidP="003414FD">
      <w:r>
        <w:separator/>
      </w:r>
    </w:p>
  </w:footnote>
  <w:footnote w:type="continuationSeparator" w:id="0">
    <w:p w:rsidR="00B85CAF" w:rsidRDefault="00B85CAF" w:rsidP="003414FD">
      <w:r>
        <w:continuationSeparator/>
      </w:r>
    </w:p>
  </w:footnote>
  <w:footnote w:id="1">
    <w:p w:rsidR="00766134" w:rsidRDefault="00766134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66134" w:rsidRDefault="00766134" w:rsidP="00D42E0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C6E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5EC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25DCB"/>
    <w:multiLevelType w:val="hybridMultilevel"/>
    <w:tmpl w:val="23C82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02D4"/>
    <w:multiLevelType w:val="hybridMultilevel"/>
    <w:tmpl w:val="4CC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7F93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7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5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1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4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>
    <w:nsid w:val="7E544018"/>
    <w:multiLevelType w:val="hybridMultilevel"/>
    <w:tmpl w:val="228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6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3"/>
  </w:num>
  <w:num w:numId="12">
    <w:abstractNumId w:val="32"/>
  </w:num>
  <w:num w:numId="13">
    <w:abstractNumId w:val="16"/>
  </w:num>
  <w:num w:numId="14">
    <w:abstractNumId w:val="35"/>
  </w:num>
  <w:num w:numId="15">
    <w:abstractNumId w:val="22"/>
  </w:num>
  <w:num w:numId="16">
    <w:abstractNumId w:val="27"/>
  </w:num>
  <w:num w:numId="17">
    <w:abstractNumId w:val="49"/>
  </w:num>
  <w:num w:numId="18">
    <w:abstractNumId w:val="29"/>
  </w:num>
  <w:num w:numId="19">
    <w:abstractNumId w:val="56"/>
  </w:num>
  <w:num w:numId="20">
    <w:abstractNumId w:val="21"/>
  </w:num>
  <w:num w:numId="21">
    <w:abstractNumId w:val="11"/>
  </w:num>
  <w:num w:numId="22">
    <w:abstractNumId w:val="34"/>
  </w:num>
  <w:num w:numId="23">
    <w:abstractNumId w:val="26"/>
  </w:num>
  <w:num w:numId="24">
    <w:abstractNumId w:val="7"/>
  </w:num>
  <w:num w:numId="25">
    <w:abstractNumId w:val="53"/>
  </w:num>
  <w:num w:numId="26">
    <w:abstractNumId w:val="40"/>
  </w:num>
  <w:num w:numId="27">
    <w:abstractNumId w:val="33"/>
  </w:num>
  <w:num w:numId="28">
    <w:abstractNumId w:val="42"/>
  </w:num>
  <w:num w:numId="29">
    <w:abstractNumId w:val="38"/>
  </w:num>
  <w:num w:numId="30">
    <w:abstractNumId w:val="55"/>
  </w:num>
  <w:num w:numId="31">
    <w:abstractNumId w:val="39"/>
  </w:num>
  <w:num w:numId="32">
    <w:abstractNumId w:val="19"/>
  </w:num>
  <w:num w:numId="33">
    <w:abstractNumId w:val="52"/>
  </w:num>
  <w:num w:numId="34">
    <w:abstractNumId w:val="36"/>
  </w:num>
  <w:num w:numId="35">
    <w:abstractNumId w:val="4"/>
  </w:num>
  <w:num w:numId="36">
    <w:abstractNumId w:val="12"/>
  </w:num>
  <w:num w:numId="37">
    <w:abstractNumId w:val="47"/>
  </w:num>
  <w:num w:numId="38">
    <w:abstractNumId w:val="20"/>
  </w:num>
  <w:num w:numId="39">
    <w:abstractNumId w:val="43"/>
  </w:num>
  <w:num w:numId="40">
    <w:abstractNumId w:val="25"/>
  </w:num>
  <w:num w:numId="41">
    <w:abstractNumId w:val="44"/>
  </w:num>
  <w:num w:numId="42">
    <w:abstractNumId w:val="37"/>
  </w:num>
  <w:num w:numId="43">
    <w:abstractNumId w:val="6"/>
  </w:num>
  <w:num w:numId="44">
    <w:abstractNumId w:val="8"/>
  </w:num>
  <w:num w:numId="45">
    <w:abstractNumId w:val="45"/>
  </w:num>
  <w:num w:numId="46">
    <w:abstractNumId w:val="17"/>
  </w:num>
  <w:num w:numId="47">
    <w:abstractNumId w:val="57"/>
  </w:num>
  <w:num w:numId="48">
    <w:abstractNumId w:val="23"/>
  </w:num>
  <w:num w:numId="49">
    <w:abstractNumId w:val="1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35"/>
  </w:num>
  <w:num w:numId="51">
    <w:abstractNumId w:val="51"/>
  </w:num>
  <w:num w:numId="52">
    <w:abstractNumId w:val="9"/>
  </w:num>
  <w:num w:numId="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54"/>
  </w:num>
  <w:num w:numId="56">
    <w:abstractNumId w:val="48"/>
  </w:num>
  <w:num w:numId="57">
    <w:abstractNumId w:val="24"/>
  </w:num>
  <w:num w:numId="58">
    <w:abstractNumId w:val="5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3DEF"/>
    <w:rsid w:val="000D6A43"/>
    <w:rsid w:val="000D7CD3"/>
    <w:rsid w:val="000E31D7"/>
    <w:rsid w:val="000E3E46"/>
    <w:rsid w:val="000E6BE9"/>
    <w:rsid w:val="000E7998"/>
    <w:rsid w:val="000F17BB"/>
    <w:rsid w:val="000F37E7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8E3"/>
    <w:rsid w:val="00107BC8"/>
    <w:rsid w:val="0011444F"/>
    <w:rsid w:val="00117BF9"/>
    <w:rsid w:val="00117F28"/>
    <w:rsid w:val="00120DC3"/>
    <w:rsid w:val="001224C1"/>
    <w:rsid w:val="00124D6D"/>
    <w:rsid w:val="0012501C"/>
    <w:rsid w:val="00131083"/>
    <w:rsid w:val="00131C36"/>
    <w:rsid w:val="00132021"/>
    <w:rsid w:val="001320A1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3B1A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329F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26AF"/>
    <w:rsid w:val="00182706"/>
    <w:rsid w:val="00182B4E"/>
    <w:rsid w:val="00184D69"/>
    <w:rsid w:val="00186412"/>
    <w:rsid w:val="00195054"/>
    <w:rsid w:val="00197372"/>
    <w:rsid w:val="00197630"/>
    <w:rsid w:val="001A0FE9"/>
    <w:rsid w:val="001A1885"/>
    <w:rsid w:val="001A4E90"/>
    <w:rsid w:val="001A50DC"/>
    <w:rsid w:val="001A65B4"/>
    <w:rsid w:val="001A6C07"/>
    <w:rsid w:val="001A75D4"/>
    <w:rsid w:val="001B357B"/>
    <w:rsid w:val="001B3EDE"/>
    <w:rsid w:val="001B535A"/>
    <w:rsid w:val="001B5918"/>
    <w:rsid w:val="001B6666"/>
    <w:rsid w:val="001B697A"/>
    <w:rsid w:val="001B6BE6"/>
    <w:rsid w:val="001B76AC"/>
    <w:rsid w:val="001C13C5"/>
    <w:rsid w:val="001C2627"/>
    <w:rsid w:val="001C3179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2E14"/>
    <w:rsid w:val="002345EF"/>
    <w:rsid w:val="00234E30"/>
    <w:rsid w:val="00235C4B"/>
    <w:rsid w:val="00240C73"/>
    <w:rsid w:val="00241D40"/>
    <w:rsid w:val="00242BE4"/>
    <w:rsid w:val="00242D7F"/>
    <w:rsid w:val="00244FDC"/>
    <w:rsid w:val="00245AA2"/>
    <w:rsid w:val="002511FD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15F"/>
    <w:rsid w:val="00273798"/>
    <w:rsid w:val="002745EB"/>
    <w:rsid w:val="002746C4"/>
    <w:rsid w:val="00275B5B"/>
    <w:rsid w:val="00275F7A"/>
    <w:rsid w:val="00277C35"/>
    <w:rsid w:val="00277D53"/>
    <w:rsid w:val="002828C5"/>
    <w:rsid w:val="00284A37"/>
    <w:rsid w:val="00284A44"/>
    <w:rsid w:val="002869D0"/>
    <w:rsid w:val="00287DA6"/>
    <w:rsid w:val="00293E82"/>
    <w:rsid w:val="002966EF"/>
    <w:rsid w:val="002A149D"/>
    <w:rsid w:val="002A2167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42FE"/>
    <w:rsid w:val="002C5962"/>
    <w:rsid w:val="002C6743"/>
    <w:rsid w:val="002C7682"/>
    <w:rsid w:val="002D0E21"/>
    <w:rsid w:val="002D1040"/>
    <w:rsid w:val="002D29D3"/>
    <w:rsid w:val="002D40F4"/>
    <w:rsid w:val="002D483C"/>
    <w:rsid w:val="002D6463"/>
    <w:rsid w:val="002D65DA"/>
    <w:rsid w:val="002D68F4"/>
    <w:rsid w:val="002E1718"/>
    <w:rsid w:val="002E328D"/>
    <w:rsid w:val="002E45F9"/>
    <w:rsid w:val="002E6A4A"/>
    <w:rsid w:val="002F13D8"/>
    <w:rsid w:val="002F46A8"/>
    <w:rsid w:val="002F4905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16F92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2FE"/>
    <w:rsid w:val="003414FD"/>
    <w:rsid w:val="0034245D"/>
    <w:rsid w:val="00343482"/>
    <w:rsid w:val="00343767"/>
    <w:rsid w:val="00344DCC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057"/>
    <w:rsid w:val="0045626B"/>
    <w:rsid w:val="00456270"/>
    <w:rsid w:val="00456C43"/>
    <w:rsid w:val="00456C84"/>
    <w:rsid w:val="00457BCD"/>
    <w:rsid w:val="00457F09"/>
    <w:rsid w:val="004618DF"/>
    <w:rsid w:val="00461B93"/>
    <w:rsid w:val="00464244"/>
    <w:rsid w:val="00464FB9"/>
    <w:rsid w:val="00466CD9"/>
    <w:rsid w:val="004712C2"/>
    <w:rsid w:val="004717BC"/>
    <w:rsid w:val="0047282D"/>
    <w:rsid w:val="0047319C"/>
    <w:rsid w:val="00473C0F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162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C7A10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56C3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1EFA"/>
    <w:rsid w:val="00564A84"/>
    <w:rsid w:val="00565063"/>
    <w:rsid w:val="005677EC"/>
    <w:rsid w:val="0057093B"/>
    <w:rsid w:val="00570AB0"/>
    <w:rsid w:val="0057356D"/>
    <w:rsid w:val="00575216"/>
    <w:rsid w:val="00575994"/>
    <w:rsid w:val="0057786C"/>
    <w:rsid w:val="005802A7"/>
    <w:rsid w:val="00580918"/>
    <w:rsid w:val="00580C85"/>
    <w:rsid w:val="00580D89"/>
    <w:rsid w:val="00581A85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71E"/>
    <w:rsid w:val="005D47AF"/>
    <w:rsid w:val="005E088A"/>
    <w:rsid w:val="005E1948"/>
    <w:rsid w:val="005E220E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7233"/>
    <w:rsid w:val="00620926"/>
    <w:rsid w:val="006223B3"/>
    <w:rsid w:val="00622774"/>
    <w:rsid w:val="006230AA"/>
    <w:rsid w:val="006255C7"/>
    <w:rsid w:val="006300A0"/>
    <w:rsid w:val="00630C80"/>
    <w:rsid w:val="00631BB8"/>
    <w:rsid w:val="006325D5"/>
    <w:rsid w:val="00632793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449C"/>
    <w:rsid w:val="00665CD8"/>
    <w:rsid w:val="00672A3F"/>
    <w:rsid w:val="00673E80"/>
    <w:rsid w:val="006740BA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87E92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83B"/>
    <w:rsid w:val="006B161C"/>
    <w:rsid w:val="006B4A1C"/>
    <w:rsid w:val="006B6569"/>
    <w:rsid w:val="006B6795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4B0E"/>
    <w:rsid w:val="006E55EC"/>
    <w:rsid w:val="006E59B0"/>
    <w:rsid w:val="006E5B04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6DF2"/>
    <w:rsid w:val="00716EC4"/>
    <w:rsid w:val="007237B9"/>
    <w:rsid w:val="00724565"/>
    <w:rsid w:val="00724584"/>
    <w:rsid w:val="00724D22"/>
    <w:rsid w:val="00726CCE"/>
    <w:rsid w:val="007276CA"/>
    <w:rsid w:val="00730177"/>
    <w:rsid w:val="007301DF"/>
    <w:rsid w:val="007331E7"/>
    <w:rsid w:val="0073347E"/>
    <w:rsid w:val="007405A6"/>
    <w:rsid w:val="007408B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134"/>
    <w:rsid w:val="00766BB3"/>
    <w:rsid w:val="00767701"/>
    <w:rsid w:val="00770E97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A7C2F"/>
    <w:rsid w:val="007B0070"/>
    <w:rsid w:val="007B0208"/>
    <w:rsid w:val="007B0CF0"/>
    <w:rsid w:val="007B14D5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44F8"/>
    <w:rsid w:val="007E59F1"/>
    <w:rsid w:val="007F0F43"/>
    <w:rsid w:val="007F1169"/>
    <w:rsid w:val="007F147A"/>
    <w:rsid w:val="007F1C13"/>
    <w:rsid w:val="007F30C8"/>
    <w:rsid w:val="007F315F"/>
    <w:rsid w:val="007F56FE"/>
    <w:rsid w:val="007F5745"/>
    <w:rsid w:val="007F7655"/>
    <w:rsid w:val="00803585"/>
    <w:rsid w:val="008047E1"/>
    <w:rsid w:val="00805896"/>
    <w:rsid w:val="00805954"/>
    <w:rsid w:val="00805ACB"/>
    <w:rsid w:val="00806B1D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27EDF"/>
    <w:rsid w:val="00835146"/>
    <w:rsid w:val="00843002"/>
    <w:rsid w:val="0084423F"/>
    <w:rsid w:val="008450BF"/>
    <w:rsid w:val="00845B4A"/>
    <w:rsid w:val="00846164"/>
    <w:rsid w:val="00846241"/>
    <w:rsid w:val="00852DBB"/>
    <w:rsid w:val="00855208"/>
    <w:rsid w:val="00855FC4"/>
    <w:rsid w:val="00856FD7"/>
    <w:rsid w:val="008645F2"/>
    <w:rsid w:val="008706AF"/>
    <w:rsid w:val="00870DF0"/>
    <w:rsid w:val="00873467"/>
    <w:rsid w:val="0087366F"/>
    <w:rsid w:val="008736FB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A99"/>
    <w:rsid w:val="00905C01"/>
    <w:rsid w:val="00907299"/>
    <w:rsid w:val="00907479"/>
    <w:rsid w:val="00907F03"/>
    <w:rsid w:val="00910154"/>
    <w:rsid w:val="00910536"/>
    <w:rsid w:val="00910761"/>
    <w:rsid w:val="00913952"/>
    <w:rsid w:val="00917CA3"/>
    <w:rsid w:val="00917E39"/>
    <w:rsid w:val="009209FE"/>
    <w:rsid w:val="00927586"/>
    <w:rsid w:val="009276B8"/>
    <w:rsid w:val="009324D9"/>
    <w:rsid w:val="0093315E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883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8C9"/>
    <w:rsid w:val="00996D79"/>
    <w:rsid w:val="009A06C2"/>
    <w:rsid w:val="009A0B2F"/>
    <w:rsid w:val="009A209C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E61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4"/>
    <w:rsid w:val="00A42F55"/>
    <w:rsid w:val="00A43203"/>
    <w:rsid w:val="00A4333D"/>
    <w:rsid w:val="00A43471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099A"/>
    <w:rsid w:val="00A74BB3"/>
    <w:rsid w:val="00A7523F"/>
    <w:rsid w:val="00A77BC2"/>
    <w:rsid w:val="00A809F9"/>
    <w:rsid w:val="00A817F2"/>
    <w:rsid w:val="00A83672"/>
    <w:rsid w:val="00A83912"/>
    <w:rsid w:val="00A849FB"/>
    <w:rsid w:val="00A853F0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622E"/>
    <w:rsid w:val="00AC6413"/>
    <w:rsid w:val="00AC76D9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0F50"/>
    <w:rsid w:val="00AE20C4"/>
    <w:rsid w:val="00AE419A"/>
    <w:rsid w:val="00AE4FB7"/>
    <w:rsid w:val="00AE5F5D"/>
    <w:rsid w:val="00AF05F4"/>
    <w:rsid w:val="00AF0A31"/>
    <w:rsid w:val="00AF24FE"/>
    <w:rsid w:val="00AF544A"/>
    <w:rsid w:val="00B0564F"/>
    <w:rsid w:val="00B06B86"/>
    <w:rsid w:val="00B074BD"/>
    <w:rsid w:val="00B07BA3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4C57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805"/>
    <w:rsid w:val="00B84DD3"/>
    <w:rsid w:val="00B85CAF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64F5"/>
    <w:rsid w:val="00BA7F2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154F"/>
    <w:rsid w:val="00BE2AC5"/>
    <w:rsid w:val="00BE3A61"/>
    <w:rsid w:val="00BE3B7E"/>
    <w:rsid w:val="00BE3E46"/>
    <w:rsid w:val="00BE4986"/>
    <w:rsid w:val="00BE563B"/>
    <w:rsid w:val="00BE6AA2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0943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81"/>
    <w:rsid w:val="00C35B24"/>
    <w:rsid w:val="00C37A0E"/>
    <w:rsid w:val="00C406FF"/>
    <w:rsid w:val="00C41330"/>
    <w:rsid w:val="00C42A05"/>
    <w:rsid w:val="00C4406F"/>
    <w:rsid w:val="00C44467"/>
    <w:rsid w:val="00C450D0"/>
    <w:rsid w:val="00C456F6"/>
    <w:rsid w:val="00C4763B"/>
    <w:rsid w:val="00C50A53"/>
    <w:rsid w:val="00C5110B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92FE0"/>
    <w:rsid w:val="00CA1251"/>
    <w:rsid w:val="00CA6AFB"/>
    <w:rsid w:val="00CB013E"/>
    <w:rsid w:val="00CB1541"/>
    <w:rsid w:val="00CB2591"/>
    <w:rsid w:val="00CB2E8B"/>
    <w:rsid w:val="00CB384D"/>
    <w:rsid w:val="00CB4CED"/>
    <w:rsid w:val="00CB5C2C"/>
    <w:rsid w:val="00CB63E5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2132"/>
    <w:rsid w:val="00CD33F1"/>
    <w:rsid w:val="00CD4C0A"/>
    <w:rsid w:val="00CD52D4"/>
    <w:rsid w:val="00CD5AB0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41CA3"/>
    <w:rsid w:val="00D42E06"/>
    <w:rsid w:val="00D43818"/>
    <w:rsid w:val="00D46C02"/>
    <w:rsid w:val="00D471CF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268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0781D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3CC0"/>
    <w:rsid w:val="00E3777D"/>
    <w:rsid w:val="00E43D33"/>
    <w:rsid w:val="00E452BF"/>
    <w:rsid w:val="00E46C11"/>
    <w:rsid w:val="00E46DC5"/>
    <w:rsid w:val="00E47C95"/>
    <w:rsid w:val="00E51021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07F7"/>
    <w:rsid w:val="00E91004"/>
    <w:rsid w:val="00E91422"/>
    <w:rsid w:val="00E9191D"/>
    <w:rsid w:val="00E92AFC"/>
    <w:rsid w:val="00E92CDE"/>
    <w:rsid w:val="00E96B6C"/>
    <w:rsid w:val="00E975F1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C7C54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1047"/>
    <w:rsid w:val="00EF2354"/>
    <w:rsid w:val="00EF34B2"/>
    <w:rsid w:val="00EF3AAF"/>
    <w:rsid w:val="00EF3CF2"/>
    <w:rsid w:val="00EF4FA6"/>
    <w:rsid w:val="00EF75F4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6238"/>
    <w:rsid w:val="00F278BD"/>
    <w:rsid w:val="00F32486"/>
    <w:rsid w:val="00F33D0D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615AA"/>
    <w:rsid w:val="00F6179F"/>
    <w:rsid w:val="00F62B8C"/>
    <w:rsid w:val="00F646C4"/>
    <w:rsid w:val="00F66BDB"/>
    <w:rsid w:val="00F672D5"/>
    <w:rsid w:val="00F6774C"/>
    <w:rsid w:val="00F7047D"/>
    <w:rsid w:val="00F715B0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1D6"/>
    <w:rsid w:val="00FB42AB"/>
    <w:rsid w:val="00FB4AF2"/>
    <w:rsid w:val="00FB5558"/>
    <w:rsid w:val="00FB574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1321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6E6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051D-4A85-4FAF-9341-592852B9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32</Pages>
  <Words>12189</Words>
  <Characters>69479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36</cp:revision>
  <cp:lastPrinted>2016-01-15T09:17:00Z</cp:lastPrinted>
  <dcterms:created xsi:type="dcterms:W3CDTF">2014-10-15T12:15:00Z</dcterms:created>
  <dcterms:modified xsi:type="dcterms:W3CDTF">2016-08-05T10:40:00Z</dcterms:modified>
</cp:coreProperties>
</file>