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DD0395" w:rsidP="006023D2">
      <w:pPr>
        <w:ind w:left="7088"/>
      </w:pPr>
      <w:r>
        <w:t xml:space="preserve">Решением </w:t>
      </w:r>
      <w:r w:rsidR="006023D2" w:rsidRPr="000A41BF">
        <w:t>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bookmarkStart w:id="0" w:name="_GoBack"/>
      <w:bookmarkEnd w:id="0"/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DD0395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>Претенденты</w:t>
      </w:r>
      <w:r w:rsidR="006023D2" w:rsidRPr="000A41BF">
        <w:t xml:space="preserve">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</w:t>
      </w:r>
      <w:r w:rsidR="00DD0395">
        <w:t xml:space="preserve">затели финансово-хозяйственной деятельности Претендента </w:t>
      </w:r>
      <w:r w:rsidRPr="000A41BF">
        <w:t>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DD0395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0A41BF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DD0395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DD0395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Собственно,</w:t>
      </w:r>
      <w:r w:rsidR="006023D2"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r w:rsidR="00DD0395" w:rsidRPr="000A41BF">
        <w:t>печатью (</w:t>
      </w:r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DD0395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бухгалтерского</w:t>
      </w:r>
      <w:r w:rsidR="006023D2"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F13434" w:rsidRDefault="00F13434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2-12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lastRenderedPageBreak/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DD0395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</w:t>
      </w:r>
      <w:r w:rsidRPr="000A41BF">
        <w:rPr>
          <w:szCs w:val="24"/>
        </w:rPr>
        <w:lastRenderedPageBreak/>
        <w:t xml:space="preserve">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r w:rsidR="00DD0395" w:rsidRPr="000A41BF">
        <w:t>слова «</w:t>
      </w:r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заявок на участие в запросе предложений подаются по адресу и в сроки </w:t>
      </w:r>
      <w:r w:rsidRPr="000A41BF">
        <w:rPr>
          <w:szCs w:val="24"/>
        </w:rPr>
        <w:lastRenderedPageBreak/>
        <w:t>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DD0395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 xml:space="preserve">16.1. Публично, в день, </w:t>
      </w:r>
      <w:r w:rsidR="00DD0395" w:rsidRPr="000A41BF">
        <w:rPr>
          <w:szCs w:val="24"/>
        </w:rPr>
        <w:t>вовремя</w:t>
      </w:r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</w:t>
      </w:r>
      <w:r w:rsidRPr="000A41BF">
        <w:rPr>
          <w:szCs w:val="24"/>
        </w:rPr>
        <w:lastRenderedPageBreak/>
        <w:t xml:space="preserve">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</w:t>
      </w:r>
      <w:r w:rsidR="00DD039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DD0395" w:rsidRPr="000A41BF">
        <w:t>будет принято</w:t>
      </w:r>
      <w:r w:rsidRPr="000A41BF">
        <w:t xml:space="preserve"> решение о несоответствии всех претендентов </w:t>
      </w:r>
      <w:r w:rsidR="00DD0395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DD0395" w:rsidRPr="000A41BF">
        <w:t>признается несостоявшимся</w:t>
      </w:r>
      <w:r w:rsidRPr="000A41BF">
        <w:t xml:space="preserve">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</w:t>
      </w:r>
      <w:r w:rsidR="00DD039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lastRenderedPageBreak/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r w:rsidR="00DD0395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DD0395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</w:p>
    <w:p w:rsidR="006023D2" w:rsidRPr="000A41BF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 xml:space="preserve"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</w:t>
            </w:r>
            <w:r w:rsidRPr="000A41BF">
              <w:rPr>
                <w:b/>
                <w:sz w:val="22"/>
                <w:szCs w:val="22"/>
              </w:rPr>
              <w:lastRenderedPageBreak/>
              <w:t>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Федерации"  удовлетворяет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Сведения  о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малого  и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случае  ведения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Сведения  о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D0395">
      <w:rPr>
        <w:noProof/>
        <w:color w:val="A6A6A6"/>
        <w:sz w:val="16"/>
        <w:szCs w:val="16"/>
      </w:rPr>
      <w:t>10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0395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BB63-669E-48F1-A1FA-02E0B0AE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23</Pages>
  <Words>7242</Words>
  <Characters>41285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77</cp:revision>
  <cp:lastPrinted>2016-04-22T12:03:00Z</cp:lastPrinted>
  <dcterms:created xsi:type="dcterms:W3CDTF">2012-09-11T12:39:00Z</dcterms:created>
  <dcterms:modified xsi:type="dcterms:W3CDTF">2016-04-22T12:03:00Z</dcterms:modified>
</cp:coreProperties>
</file>