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023D2" w:rsidP="006023D2">
      <w:pPr>
        <w:ind w:left="7088"/>
      </w:pPr>
      <w:r w:rsidRPr="00CC04A3">
        <w:t xml:space="preserve">Решением  </w:t>
      </w:r>
      <w:r w:rsidR="004C75DD">
        <w:t xml:space="preserve">Заместителя </w:t>
      </w:r>
      <w:r w:rsidRPr="00CC04A3">
        <w:t>Председателя ЦЗК</w:t>
      </w:r>
    </w:p>
    <w:p w:rsidR="006023D2" w:rsidRPr="00CC04A3" w:rsidRDefault="006023D2" w:rsidP="006023D2">
      <w:pPr>
        <w:ind w:left="7088"/>
      </w:pPr>
      <w:r w:rsidRPr="00CC04A3">
        <w:t>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420ED3" w:rsidP="006023D2">
      <w:pPr>
        <w:ind w:left="7088"/>
      </w:pPr>
      <w:r>
        <w:t xml:space="preserve"> _____________</w:t>
      </w:r>
      <w:r w:rsidR="006023D2" w:rsidRPr="00CC04A3">
        <w:t xml:space="preserve"> </w:t>
      </w:r>
      <w:r w:rsidR="004C75DD">
        <w:t>О.А. Трубачев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0" w:name="_Ref27286523"/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начальной (максимальной) цены договора;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</w:t>
      </w:r>
      <w:r w:rsidR="00F3193C" w:rsidRPr="00CC04A3">
        <w:t xml:space="preserve"> </w:t>
      </w:r>
      <w:r w:rsidR="002F4666" w:rsidRPr="00CC04A3">
        <w:t xml:space="preserve">в </w:t>
      </w:r>
      <w:r w:rsidR="00725708" w:rsidRPr="00CC04A3">
        <w:t>течение</w:t>
      </w:r>
      <w:r w:rsidR="002F4666" w:rsidRPr="00CC04A3">
        <w:t xml:space="preserve"> последнего календарного года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lastRenderedPageBreak/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>2.8.  отсутствие в реестре недобросовестных поставщиков сведений о Претенденте;</w:t>
      </w:r>
    </w:p>
    <w:p w:rsidR="006023D2" w:rsidRPr="00CC04A3" w:rsidRDefault="008A4A37" w:rsidP="006023D2">
      <w:pPr>
        <w:ind w:firstLine="708"/>
        <w:jc w:val="both"/>
      </w:pPr>
      <w:r>
        <w:t xml:space="preserve">2.9. регистрация Претендента </w:t>
      </w:r>
      <w:r w:rsidR="006023D2" w:rsidRPr="00CC04A3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B376E9" w:rsidRDefault="003A6046" w:rsidP="00B376E9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033DF9">
        <w:t xml:space="preserve">с АО «ЛОЭСК» </w:t>
      </w:r>
      <w:r w:rsidR="008A4A37">
        <w:t xml:space="preserve">за последние 2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D43B04" w:rsidRPr="000E693C" w:rsidRDefault="00D43B04" w:rsidP="00D43B04">
      <w:pPr>
        <w:ind w:firstLine="708"/>
        <w:jc w:val="both"/>
      </w:pPr>
      <w:r>
        <w:t>2.11.</w:t>
      </w:r>
      <w:r w:rsidRPr="00D43B04">
        <w:t xml:space="preserve"> </w:t>
      </w:r>
      <w:r w:rsidRPr="000E693C">
        <w:t>У Претендента должна отсутствовать совокупность всех следующих признаков «фирмы-однодневки»:</w:t>
      </w:r>
    </w:p>
    <w:p w:rsidR="00D43B04" w:rsidRPr="000E693C" w:rsidRDefault="00D43B04" w:rsidP="00D43B04">
      <w:pPr>
        <w:jc w:val="both"/>
      </w:pPr>
      <w:r w:rsidRPr="000E693C">
        <w:t>- минимальный размер уставного капитала;</w:t>
      </w:r>
    </w:p>
    <w:p w:rsidR="00D43B04" w:rsidRPr="000E693C" w:rsidRDefault="00D43B04" w:rsidP="00D43B04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D43B04" w:rsidRPr="000E693C" w:rsidRDefault="00D43B04" w:rsidP="00D43B04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D43B04" w:rsidRPr="000E693C" w:rsidRDefault="00D43B04" w:rsidP="00D43B04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D43B04" w:rsidRPr="00CC04A3" w:rsidRDefault="00D43B04" w:rsidP="00D43B04">
      <w:pPr>
        <w:ind w:firstLine="708"/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</w:t>
      </w:r>
      <w:r>
        <w:t>.</w:t>
      </w:r>
    </w:p>
    <w:p w:rsidR="006023D2" w:rsidRPr="00CC04A3" w:rsidRDefault="006023D2" w:rsidP="006023D2">
      <w:pPr>
        <w:jc w:val="both"/>
      </w:pPr>
      <w:r w:rsidRPr="00CC04A3">
        <w:tab/>
      </w:r>
    </w:p>
    <w:p w:rsidR="006023D2" w:rsidRPr="00CC04A3" w:rsidRDefault="006023D2" w:rsidP="003A6046">
      <w:pPr>
        <w:ind w:firstLine="567"/>
        <w:jc w:val="both"/>
        <w:rPr>
          <w:iCs/>
        </w:rPr>
      </w:pPr>
      <w:r w:rsidRPr="00CC04A3">
        <w:t>иные требования к Претендентам могут быть установлены карточкой запроса предложений</w:t>
      </w:r>
      <w:r w:rsidRPr="00CC04A3">
        <w:rPr>
          <w:b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</w:t>
      </w:r>
      <w:r w:rsidR="00054699">
        <w:t>1</w:t>
      </w:r>
      <w:r w:rsidRPr="00CC04A3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Для юридических лиц, зарегистрированных в соответствии с законодательством Российской Федерации</w:t>
      </w:r>
      <w:r w:rsidRPr="00CC04A3">
        <w:rPr>
          <w:b/>
          <w:bCs/>
        </w:rPr>
        <w:t xml:space="preserve"> - </w:t>
      </w:r>
      <w:r w:rsidRPr="00CC04A3">
        <w:t>выписку из единого государственного реестра юридических лиц, полученную не ранее чем за 60 дней до размещени</w:t>
      </w:r>
      <w:r w:rsidRPr="00CC04A3">
        <w:rPr>
          <w:bCs/>
        </w:rPr>
        <w:t>я и</w:t>
      </w:r>
      <w:r w:rsidRPr="00CC04A3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б) бухгалтерский баланс на последнюю отчетную дату с отчетом о прибылях и убытках (по п. 2.3),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Pr="00CC04A3">
        <w:t>;</w:t>
      </w:r>
    </w:p>
    <w:p w:rsidR="00C054C3" w:rsidRPr="00CC04A3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Б</w:t>
      </w:r>
      <w:r w:rsidR="00596C56" w:rsidRPr="00CC04A3">
        <w:t>ухгалтерский баланс на 31 декабря предшествующего календарного года с</w:t>
      </w:r>
      <w:r w:rsidRPr="00CC04A3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Справка в свободной форме об отсутствии судебных споров</w:t>
      </w:r>
      <w:r w:rsidR="00033DF9">
        <w:t xml:space="preserve"> с АО «ЛОЭСК»</w:t>
      </w:r>
      <w:r w:rsidRPr="00CC04A3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</w:t>
      </w:r>
      <w:r w:rsidR="002A43FE">
        <w:t>0</w:t>
      </w:r>
      <w:r w:rsidRPr="00CC04A3">
        <w:t>);</w:t>
      </w:r>
    </w:p>
    <w:p w:rsidR="00C858F5" w:rsidRPr="00CC04A3" w:rsidRDefault="00C858F5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8E5FB1"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2-12 на субподрядную организацию)</w:t>
      </w:r>
      <w:r>
        <w:t>;</w:t>
      </w:r>
      <w:bookmarkStart w:id="1" w:name="_GoBack"/>
      <w:bookmarkEnd w:id="1"/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BD1035" w:rsidRPr="00CC04A3">
        <w:t>7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2" w:name="_Ref119429644"/>
      <w:bookmarkStart w:id="3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2"/>
      <w:bookmarkEnd w:id="3"/>
    </w:p>
    <w:p w:rsidR="006023D2" w:rsidRPr="00CC04A3" w:rsidRDefault="006023D2" w:rsidP="006023D2">
      <w:pPr>
        <w:ind w:firstLine="567"/>
        <w:jc w:val="both"/>
      </w:pPr>
      <w:bookmarkStart w:id="4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01744"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</w:t>
      </w:r>
      <w:r w:rsidR="00C924A4">
        <w:t xml:space="preserve">администратору на ресепшн </w:t>
      </w:r>
      <w:r w:rsidR="003D79B1">
        <w:t>в рабочие дни с 9.00 до 16</w:t>
      </w:r>
      <w:r w:rsidRPr="003D79B1">
        <w:t>.00.</w:t>
      </w:r>
      <w:bookmarkEnd w:id="4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t xml:space="preserve">- слова  «НЕ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5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5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6" w:name="_Ref119429700"/>
      <w:r w:rsidRPr="00CC04A3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6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</w:t>
      </w:r>
      <w:r w:rsidR="00C924A4">
        <w:t xml:space="preserve">(либо надлежаще заверенная копия доверенности) </w:t>
      </w:r>
      <w:r w:rsidRPr="00CC04A3">
        <w:t>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7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8" w:name="_Toc123405482"/>
      <w:bookmarkEnd w:id="7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8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9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9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</w:t>
      </w:r>
      <w:r w:rsidR="00CB558D">
        <w:rPr>
          <w:szCs w:val="24"/>
        </w:rPr>
        <w:t>9</w:t>
      </w:r>
      <w:r w:rsidRPr="00CC04A3">
        <w:rPr>
          <w:szCs w:val="24"/>
        </w:rPr>
        <w:t>, 1.11.1</w:t>
      </w:r>
      <w:r w:rsidR="00CB558D">
        <w:rPr>
          <w:szCs w:val="24"/>
        </w:rPr>
        <w:t>0</w:t>
      </w:r>
      <w:r w:rsidRPr="00CC04A3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10" w:name="_Ref55304419"/>
    </w:p>
    <w:bookmarkEnd w:id="10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3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B466F2">
        <w:rPr>
          <w:rFonts w:ascii="Times New Roman" w:hAnsi="Times New Roman" w:cs="Times New Roman"/>
          <w:sz w:val="24"/>
          <w:szCs w:val="24"/>
        </w:rPr>
        <w:t>1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>ехнического задания</w:t>
      </w:r>
      <w:r w:rsidR="00B466F2">
        <w:rPr>
          <w:rFonts w:ascii="Times New Roman" w:hAnsi="Times New Roman" w:cs="Times New Roman"/>
          <w:sz w:val="24"/>
          <w:szCs w:val="24"/>
        </w:rPr>
        <w:t xml:space="preserve">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(Форма №4):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строительства;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реконструкции.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описи документов (Форма №</w:t>
      </w:r>
      <w:r w:rsidR="003A6046" w:rsidRPr="00CC04A3">
        <w:t>6</w:t>
      </w:r>
      <w:r w:rsidRPr="00CC04A3">
        <w:t>).</w:t>
      </w:r>
    </w:p>
    <w:p w:rsidR="006023D2" w:rsidRPr="00CC04A3" w:rsidRDefault="000620F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C04A3">
        <w:rPr>
          <w:i/>
        </w:rPr>
        <w:t xml:space="preserve"> </w:t>
      </w:r>
      <w:r w:rsidR="006023D2"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>, а также Положение о закупке АО «ЛОЭСК», в т.ч.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t>Форма №2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C01744" w:rsidRPr="008C6ABB" w:rsidRDefault="00C01744" w:rsidP="00C01744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  <w:r w:rsidRPr="00CC04A3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E213B1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376982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 xml:space="preserve">тся при выполнении работ привлеченными силами. 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r w:rsidRPr="00CC04A3">
        <w:rPr>
          <w:sz w:val="22"/>
          <w:szCs w:val="22"/>
        </w:rPr>
        <w:t>1.____________________________________________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3E7794">
        <w:trPr>
          <w:trHeight w:val="411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В т.ч.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E7794">
        <w:trPr>
          <w:trHeight w:val="353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0905BB">
        <w:trPr>
          <w:trHeight w:val="811"/>
          <w:tblCellSpacing w:w="0" w:type="dxa"/>
        </w:trPr>
        <w:tc>
          <w:tcPr>
            <w:tcW w:w="10737" w:type="dxa"/>
            <w:hideMark/>
          </w:tcPr>
          <w:p w:rsidR="00E24EC1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0905BB" w:rsidRPr="00CC04A3">
              <w:rPr>
                <w:sz w:val="20"/>
                <w:szCs w:val="20"/>
              </w:rPr>
              <w:t xml:space="preserve">. 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p w:rsidR="000905BB" w:rsidRPr="00CC04A3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Форма № 6</w:t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BD1035" w:rsidRPr="00CC04A3" w:rsidRDefault="00BD1035" w:rsidP="005A10FD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</w:t>
      </w:r>
      <w:r w:rsidRPr="00CC04A3">
        <w:rPr>
          <w:b/>
        </w:rPr>
        <w:t xml:space="preserve"> наличии опыта выполнения аналогичных работ</w:t>
      </w:r>
      <w:r w:rsidRPr="00CC04A3">
        <w:rPr>
          <w:b/>
          <w:bCs/>
        </w:rPr>
        <w:t xml:space="preserve"> 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BD1035" w:rsidRPr="00CC04A3" w:rsidRDefault="00BD1035" w:rsidP="005A10F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614117">
        <w:tc>
          <w:tcPr>
            <w:tcW w:w="351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1035" w:rsidRPr="00CC04A3" w:rsidTr="00614117">
        <w:tc>
          <w:tcPr>
            <w:tcW w:w="3510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40"/>
      </w:pPr>
    </w:p>
    <w:tbl>
      <w:tblPr>
        <w:tblStyle w:val="af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346"/>
        <w:gridCol w:w="992"/>
        <w:gridCol w:w="993"/>
        <w:gridCol w:w="1275"/>
      </w:tblGrid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992" w:type="dxa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Срок  работ по договору</w:t>
            </w: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Реквизиты акта выполненных работ</w:t>
            </w:r>
          </w:p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BD1035" w:rsidRPr="00CC04A3" w:rsidRDefault="00BD1035" w:rsidP="005A10FD">
      <w:pPr>
        <w:spacing w:after="240"/>
        <w:rPr>
          <w:bCs/>
          <w:sz w:val="20"/>
          <w:szCs w:val="20"/>
        </w:rPr>
      </w:pPr>
      <w:r w:rsidRPr="00CC04A3">
        <w:rPr>
          <w:b/>
          <w:sz w:val="20"/>
          <w:szCs w:val="20"/>
        </w:rPr>
        <w:t>*</w:t>
      </w:r>
      <w:r w:rsidRPr="00CC04A3">
        <w:rPr>
          <w:sz w:val="20"/>
          <w:szCs w:val="20"/>
        </w:rPr>
        <w:t>В данной таблице приводится  перечень договоров (не менее двух)</w:t>
      </w:r>
      <w:r w:rsidR="00A35EDB" w:rsidRPr="00CC04A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CC04A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CC04A3" w:rsidRPr="00CC04A3" w:rsidTr="00BD1035">
        <w:trPr>
          <w:trHeight w:val="811"/>
          <w:tblCellSpacing w:w="0" w:type="dxa"/>
        </w:trPr>
        <w:tc>
          <w:tcPr>
            <w:tcW w:w="10737" w:type="dxa"/>
            <w:hideMark/>
          </w:tcPr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BD1035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BD1035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6023D2" w:rsidRPr="00CC04A3" w:rsidRDefault="00E24EC1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Форма № </w:t>
      </w:r>
      <w:r w:rsidR="00BD1035" w:rsidRPr="00CC04A3">
        <w:rPr>
          <w:rFonts w:ascii="Times New Roman CYR" w:hAnsi="Times New Roman CYR" w:cs="Times New Roman CYR"/>
          <w:b/>
          <w:bCs/>
        </w:rPr>
        <w:t>7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ОПИСЬ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C04A3">
        <w:rPr>
          <w:rFonts w:ascii="Times New Roman CYR" w:hAnsi="Times New Roman CYR" w:cs="Times New Roman CYR"/>
        </w:rPr>
        <w:t>(наименование Претендента)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166"/>
      </w:tblGrid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0"/>
        <w:gridCol w:w="2723"/>
        <w:gridCol w:w="799"/>
        <w:gridCol w:w="798"/>
        <w:gridCol w:w="1351"/>
        <w:gridCol w:w="273"/>
        <w:gridCol w:w="2870"/>
        <w:gridCol w:w="6"/>
      </w:tblGrid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bottom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8820" w:type="dxa"/>
            <w:gridSpan w:val="7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4320" w:type="dxa"/>
            <w:gridSpan w:val="3"/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500" w:type="dxa"/>
            <w:gridSpan w:val="4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/>
    <w:sectPr w:rsidR="006023D2" w:rsidRPr="00CC04A3" w:rsidSect="001441EA">
      <w:footerReference w:type="even" r:id="rId10"/>
      <w:footerReference w:type="default" r:id="rId11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AC" w:rsidRDefault="005B64AC" w:rsidP="006023D2">
      <w:r>
        <w:separator/>
      </w:r>
    </w:p>
  </w:endnote>
  <w:endnote w:type="continuationSeparator" w:id="0">
    <w:p w:rsidR="005B64AC" w:rsidRDefault="005B64AC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EE710D" w:rsidRDefault="00EE710D">
    <w:pPr>
      <w:pStyle w:val="af0"/>
      <w:ind w:right="360"/>
    </w:pPr>
  </w:p>
  <w:p w:rsidR="00EE710D" w:rsidRDefault="00EE71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ind w:right="360"/>
      <w:jc w:val="center"/>
      <w:rPr>
        <w:sz w:val="16"/>
        <w:szCs w:val="16"/>
      </w:rPr>
    </w:pPr>
  </w:p>
  <w:p w:rsidR="00EE710D" w:rsidRPr="00675493" w:rsidRDefault="00EE710D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858F5">
      <w:rPr>
        <w:noProof/>
        <w:color w:val="A6A6A6"/>
        <w:sz w:val="16"/>
        <w:szCs w:val="16"/>
      </w:rPr>
      <w:t>4</w:t>
    </w:r>
    <w:r w:rsidRPr="00675493">
      <w:rPr>
        <w:color w:val="A6A6A6"/>
        <w:sz w:val="16"/>
        <w:szCs w:val="16"/>
      </w:rPr>
      <w:fldChar w:fldCharType="end"/>
    </w:r>
  </w:p>
  <w:p w:rsidR="00EE710D" w:rsidRDefault="00EE710D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B64AC" w:rsidRDefault="005B64AC">
    <w:pPr>
      <w:pStyle w:val="af0"/>
      <w:ind w:right="360"/>
    </w:pPr>
  </w:p>
  <w:p w:rsidR="005B64AC" w:rsidRDefault="005B64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ind w:right="360"/>
      <w:jc w:val="center"/>
      <w:rPr>
        <w:sz w:val="16"/>
        <w:szCs w:val="16"/>
      </w:rPr>
    </w:pPr>
  </w:p>
  <w:p w:rsidR="005B64AC" w:rsidRPr="00675493" w:rsidRDefault="005B64AC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858F5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5B64AC" w:rsidRDefault="005B64AC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AC" w:rsidRDefault="005B64AC" w:rsidP="006023D2">
      <w:r>
        <w:separator/>
      </w:r>
    </w:p>
  </w:footnote>
  <w:footnote w:type="continuationSeparator" w:id="0">
    <w:p w:rsidR="005B64AC" w:rsidRDefault="005B64AC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33DF9"/>
    <w:rsid w:val="00054699"/>
    <w:rsid w:val="000620FD"/>
    <w:rsid w:val="000905BB"/>
    <w:rsid w:val="000A17F9"/>
    <w:rsid w:val="000A309F"/>
    <w:rsid w:val="000A5DFE"/>
    <w:rsid w:val="000E5AEF"/>
    <w:rsid w:val="00107596"/>
    <w:rsid w:val="001228B0"/>
    <w:rsid w:val="0012420F"/>
    <w:rsid w:val="001441EA"/>
    <w:rsid w:val="0015411A"/>
    <w:rsid w:val="001559A7"/>
    <w:rsid w:val="00184BD4"/>
    <w:rsid w:val="001957B3"/>
    <w:rsid w:val="001B196E"/>
    <w:rsid w:val="001D04E4"/>
    <w:rsid w:val="001D7AEC"/>
    <w:rsid w:val="002147FB"/>
    <w:rsid w:val="0022099C"/>
    <w:rsid w:val="0024273B"/>
    <w:rsid w:val="00251469"/>
    <w:rsid w:val="00272F6A"/>
    <w:rsid w:val="00273C0E"/>
    <w:rsid w:val="00284D8D"/>
    <w:rsid w:val="002A43FE"/>
    <w:rsid w:val="002F197F"/>
    <w:rsid w:val="002F4666"/>
    <w:rsid w:val="002F57C9"/>
    <w:rsid w:val="00315D2C"/>
    <w:rsid w:val="00320DDC"/>
    <w:rsid w:val="003224CF"/>
    <w:rsid w:val="00342F40"/>
    <w:rsid w:val="00376982"/>
    <w:rsid w:val="00385E81"/>
    <w:rsid w:val="003A3B2C"/>
    <w:rsid w:val="003A6046"/>
    <w:rsid w:val="003B1216"/>
    <w:rsid w:val="003B7C11"/>
    <w:rsid w:val="003C0307"/>
    <w:rsid w:val="003C448B"/>
    <w:rsid w:val="003D79B1"/>
    <w:rsid w:val="003E7794"/>
    <w:rsid w:val="003F012E"/>
    <w:rsid w:val="00400238"/>
    <w:rsid w:val="00420ED3"/>
    <w:rsid w:val="00422A83"/>
    <w:rsid w:val="0045777C"/>
    <w:rsid w:val="004A6279"/>
    <w:rsid w:val="004B5955"/>
    <w:rsid w:val="004B5C09"/>
    <w:rsid w:val="004C3D69"/>
    <w:rsid w:val="004C75DD"/>
    <w:rsid w:val="004D2A31"/>
    <w:rsid w:val="004F38C6"/>
    <w:rsid w:val="00520F85"/>
    <w:rsid w:val="005312DD"/>
    <w:rsid w:val="005332C7"/>
    <w:rsid w:val="00543B45"/>
    <w:rsid w:val="00545239"/>
    <w:rsid w:val="00550931"/>
    <w:rsid w:val="005816BF"/>
    <w:rsid w:val="00596C56"/>
    <w:rsid w:val="00597356"/>
    <w:rsid w:val="005A10FD"/>
    <w:rsid w:val="005A318F"/>
    <w:rsid w:val="005A514F"/>
    <w:rsid w:val="005A79EB"/>
    <w:rsid w:val="005B64AC"/>
    <w:rsid w:val="005C602E"/>
    <w:rsid w:val="005E539B"/>
    <w:rsid w:val="005F6744"/>
    <w:rsid w:val="005F7085"/>
    <w:rsid w:val="00601ED0"/>
    <w:rsid w:val="006023D2"/>
    <w:rsid w:val="00610A34"/>
    <w:rsid w:val="00614117"/>
    <w:rsid w:val="00630111"/>
    <w:rsid w:val="00650B44"/>
    <w:rsid w:val="0065793C"/>
    <w:rsid w:val="0068348F"/>
    <w:rsid w:val="00695935"/>
    <w:rsid w:val="006A51C5"/>
    <w:rsid w:val="006A52DE"/>
    <w:rsid w:val="006C7675"/>
    <w:rsid w:val="006D10DE"/>
    <w:rsid w:val="006E53DC"/>
    <w:rsid w:val="006F2093"/>
    <w:rsid w:val="00722595"/>
    <w:rsid w:val="00725708"/>
    <w:rsid w:val="00742EC3"/>
    <w:rsid w:val="007577ED"/>
    <w:rsid w:val="007641CD"/>
    <w:rsid w:val="00766FDB"/>
    <w:rsid w:val="0079449E"/>
    <w:rsid w:val="007A2BF3"/>
    <w:rsid w:val="007B7F47"/>
    <w:rsid w:val="007F1B9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2691"/>
    <w:rsid w:val="008E4E3C"/>
    <w:rsid w:val="008F09AE"/>
    <w:rsid w:val="009006FD"/>
    <w:rsid w:val="00947C0C"/>
    <w:rsid w:val="00953F7A"/>
    <w:rsid w:val="009776F9"/>
    <w:rsid w:val="00984BB1"/>
    <w:rsid w:val="00985CB6"/>
    <w:rsid w:val="00996D25"/>
    <w:rsid w:val="009A02DC"/>
    <w:rsid w:val="009C4730"/>
    <w:rsid w:val="00A35EDB"/>
    <w:rsid w:val="00A42DF6"/>
    <w:rsid w:val="00A5044D"/>
    <w:rsid w:val="00A57A11"/>
    <w:rsid w:val="00A612BF"/>
    <w:rsid w:val="00A61320"/>
    <w:rsid w:val="00A80A19"/>
    <w:rsid w:val="00A90256"/>
    <w:rsid w:val="00AA43B9"/>
    <w:rsid w:val="00AB07BB"/>
    <w:rsid w:val="00AC50C2"/>
    <w:rsid w:val="00AE4D8D"/>
    <w:rsid w:val="00AE6ECF"/>
    <w:rsid w:val="00AF0647"/>
    <w:rsid w:val="00AF758F"/>
    <w:rsid w:val="00B066DE"/>
    <w:rsid w:val="00B23E4B"/>
    <w:rsid w:val="00B376E9"/>
    <w:rsid w:val="00B466F2"/>
    <w:rsid w:val="00B61A5F"/>
    <w:rsid w:val="00B85991"/>
    <w:rsid w:val="00BD1035"/>
    <w:rsid w:val="00BD3BFD"/>
    <w:rsid w:val="00BF160D"/>
    <w:rsid w:val="00C01744"/>
    <w:rsid w:val="00C054C3"/>
    <w:rsid w:val="00C20367"/>
    <w:rsid w:val="00C249A0"/>
    <w:rsid w:val="00C37109"/>
    <w:rsid w:val="00C42452"/>
    <w:rsid w:val="00C858F5"/>
    <w:rsid w:val="00C924A4"/>
    <w:rsid w:val="00CB29A7"/>
    <w:rsid w:val="00CB4C81"/>
    <w:rsid w:val="00CB558D"/>
    <w:rsid w:val="00CC04A3"/>
    <w:rsid w:val="00CE02A5"/>
    <w:rsid w:val="00CF155D"/>
    <w:rsid w:val="00D275C7"/>
    <w:rsid w:val="00D43B04"/>
    <w:rsid w:val="00D607CB"/>
    <w:rsid w:val="00D63F92"/>
    <w:rsid w:val="00D727AE"/>
    <w:rsid w:val="00DD048A"/>
    <w:rsid w:val="00DD7F99"/>
    <w:rsid w:val="00E213B1"/>
    <w:rsid w:val="00E230FD"/>
    <w:rsid w:val="00E24EC1"/>
    <w:rsid w:val="00E330C1"/>
    <w:rsid w:val="00EE11D5"/>
    <w:rsid w:val="00EE28B7"/>
    <w:rsid w:val="00EE710D"/>
    <w:rsid w:val="00EF5C80"/>
    <w:rsid w:val="00F3193C"/>
    <w:rsid w:val="00F478AC"/>
    <w:rsid w:val="00F55648"/>
    <w:rsid w:val="00F61991"/>
    <w:rsid w:val="00F62B8A"/>
    <w:rsid w:val="00F7454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A96F-EEDD-4235-8173-F864E21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1CCDD-A080-4D0F-8045-162AC9B6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Киселёва Дарья Владимировна</cp:lastModifiedBy>
  <cp:revision>43</cp:revision>
  <cp:lastPrinted>2015-08-03T10:16:00Z</cp:lastPrinted>
  <dcterms:created xsi:type="dcterms:W3CDTF">2012-11-29T11:15:00Z</dcterms:created>
  <dcterms:modified xsi:type="dcterms:W3CDTF">2016-04-14T05:44:00Z</dcterms:modified>
</cp:coreProperties>
</file>