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9E6888" w:rsidP="006023D2">
      <w:pPr>
        <w:ind w:left="7088"/>
      </w:pPr>
      <w:r>
        <w:t xml:space="preserve">Решением Заместителя </w:t>
      </w:r>
      <w:r w:rsidR="006023D2" w:rsidRPr="000A41BF">
        <w:t>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</w:t>
      </w:r>
      <w:r w:rsidR="009E6888">
        <w:t>О.А. Трубачев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bookmarkStart w:id="0" w:name="_GoBack"/>
      <w:bookmarkEnd w:id="0"/>
    </w:p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DA7E1C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lastRenderedPageBreak/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</w:t>
      </w:r>
      <w:r w:rsidR="00DA7E1C">
        <w:t xml:space="preserve"> с АО «ЛОЭСК»</w:t>
      </w:r>
      <w:r w:rsidRPr="000A41BF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DC3ACA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 xml:space="preserve"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</w:t>
      </w:r>
      <w:r w:rsidRPr="000A41BF">
        <w:rPr>
          <w:szCs w:val="24"/>
        </w:rPr>
        <w:lastRenderedPageBreak/>
        <w:t>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1760DD">
        <w:t xml:space="preserve">, или сдана администратору на ресепшн </w:t>
      </w:r>
      <w:r w:rsidRPr="000A41BF">
        <w:t>в рабочие дни с 9.00 до 17.00.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</w:t>
      </w:r>
      <w:r w:rsidRPr="000A41BF">
        <w:rPr>
          <w:szCs w:val="24"/>
        </w:rPr>
        <w:lastRenderedPageBreak/>
        <w:t>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8611FF">
      <w:pPr>
        <w:pStyle w:val="32"/>
        <w:tabs>
          <w:tab w:val="clear" w:pos="1307"/>
        </w:tabs>
        <w:ind w:left="0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</w:t>
      </w:r>
      <w:r w:rsidR="008623EF">
        <w:t xml:space="preserve">(надлежаще заверенная копия доверенности) </w:t>
      </w:r>
      <w:r w:rsidRPr="000A41BF">
        <w:t>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3D0040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9E6888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760DD"/>
    <w:rsid w:val="00184BD4"/>
    <w:rsid w:val="001873CC"/>
    <w:rsid w:val="001957B3"/>
    <w:rsid w:val="001B196E"/>
    <w:rsid w:val="001B7642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D0040"/>
    <w:rsid w:val="003F012E"/>
    <w:rsid w:val="00400238"/>
    <w:rsid w:val="00422A83"/>
    <w:rsid w:val="00430D66"/>
    <w:rsid w:val="004539A2"/>
    <w:rsid w:val="0045777C"/>
    <w:rsid w:val="00481FE0"/>
    <w:rsid w:val="004904EB"/>
    <w:rsid w:val="004B5C09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11FF"/>
    <w:rsid w:val="008623EF"/>
    <w:rsid w:val="008630C6"/>
    <w:rsid w:val="0087013E"/>
    <w:rsid w:val="008776B5"/>
    <w:rsid w:val="008C1B1C"/>
    <w:rsid w:val="008C35BF"/>
    <w:rsid w:val="008C65AD"/>
    <w:rsid w:val="008E4E3C"/>
    <w:rsid w:val="00905040"/>
    <w:rsid w:val="00906695"/>
    <w:rsid w:val="00982D79"/>
    <w:rsid w:val="00984BB1"/>
    <w:rsid w:val="00985CB6"/>
    <w:rsid w:val="00991F71"/>
    <w:rsid w:val="00993599"/>
    <w:rsid w:val="00996D25"/>
    <w:rsid w:val="009A2685"/>
    <w:rsid w:val="009E6888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43F53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A7E1C"/>
    <w:rsid w:val="00DC3ACA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30C2E-068C-4A63-93E0-CDEC3ADE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5582</Words>
  <Characters>31822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92</cp:revision>
  <cp:lastPrinted>2012-09-28T10:22:00Z</cp:lastPrinted>
  <dcterms:created xsi:type="dcterms:W3CDTF">2012-09-11T12:39:00Z</dcterms:created>
  <dcterms:modified xsi:type="dcterms:W3CDTF">2016-03-29T10:05:00Z</dcterms:modified>
</cp:coreProperties>
</file>